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pacing w:before="64" w:after="0" w:line="240" w:lineRule="auto"/>
        <w:ind w:left="1130" w:right="0"/>
        <w:jc w:val="left"/>
        <w:rPr>
          <w:rFonts w:hint="default" w:ascii="黑体" w:hAnsi="宋体" w:eastAsia="宋体" w:cs="宋体"/>
          <w:sz w:val="21"/>
          <w:szCs w:val="21"/>
          <w:lang w:val="en-US" w:eastAsia="zh-CN" w:bidi="ar-SA"/>
        </w:rPr>
      </w:pPr>
      <w:r>
        <w:rPr>
          <w:rFonts w:ascii="Times New Roman" w:hAnsi="宋体" w:eastAsia="宋体" w:cs="宋体"/>
          <w:position w:val="2"/>
          <w:sz w:val="21"/>
          <w:szCs w:val="21"/>
          <w:lang w:val="fr-FR" w:eastAsia="en-US" w:bidi="ar-SA"/>
        </w:rPr>
        <w:t>ICS</w:t>
      </w:r>
      <w:r>
        <w:rPr>
          <w:rFonts w:ascii="Times New Roman" w:hAnsi="宋体" w:eastAsia="宋体" w:cs="宋体"/>
          <w:spacing w:val="36"/>
          <w:position w:val="2"/>
          <w:sz w:val="21"/>
          <w:szCs w:val="21"/>
          <w:lang w:val="fr-FR" w:eastAsia="en-US" w:bidi="ar-SA"/>
        </w:rPr>
        <w:t xml:space="preserve">  </w:t>
      </w:r>
      <w:r>
        <w:rPr>
          <w:rFonts w:hint="eastAsia" w:ascii="Times New Roman" w:hAnsi="宋体" w:eastAsia="宋体" w:cs="宋体"/>
          <w:spacing w:val="36"/>
          <w:position w:val="2"/>
          <w:sz w:val="21"/>
          <w:szCs w:val="21"/>
          <w:lang w:val="en-US" w:eastAsia="zh-CN" w:bidi="ar-SA"/>
        </w:rPr>
        <w:t>XX</w:t>
      </w:r>
      <w:r>
        <w:rPr>
          <w:rFonts w:hint="eastAsia" w:ascii="Times New Roman" w:cs="宋体"/>
          <w:spacing w:val="36"/>
          <w:position w:val="2"/>
          <w:sz w:val="21"/>
          <w:szCs w:val="21"/>
          <w:lang w:val="en-US" w:eastAsia="zh-CN" w:bidi="ar-SA"/>
        </w:rPr>
        <w:t xml:space="preserve"> XXX</w:t>
      </w:r>
    </w:p>
    <w:p>
      <w:pPr>
        <w:widowControl w:val="0"/>
        <w:autoSpaceDE w:val="0"/>
        <w:autoSpaceDN w:val="0"/>
        <w:spacing w:before="37" w:after="0" w:line="240" w:lineRule="auto"/>
        <w:ind w:left="1130" w:right="0"/>
        <w:jc w:val="left"/>
        <w:rPr>
          <w:rFonts w:hint="eastAsia" w:ascii="黑体" w:hAnsi="宋体" w:eastAsia="宋体" w:cs="宋体"/>
          <w:sz w:val="21"/>
          <w:szCs w:val="21"/>
          <w:lang w:val="fr-FR" w:eastAsia="zh-CN" w:bidi="ar-SA"/>
        </w:rPr>
      </w:pPr>
      <w:r>
        <w:rPr>
          <w:rFonts w:ascii="Times New Roman" w:hAnsi="宋体" w:eastAsia="宋体" w:cs="宋体"/>
          <w:position w:val="2"/>
          <w:sz w:val="21"/>
          <w:szCs w:val="21"/>
          <w:lang w:val="fr-FR" w:eastAsia="en-US" w:bidi="ar-SA"/>
        </w:rPr>
        <w:t>CCS</w:t>
      </w:r>
      <w:r>
        <w:rPr>
          <w:rFonts w:ascii="Times New Roman" w:hAnsi="宋体" w:eastAsia="宋体" w:cs="宋体"/>
          <w:spacing w:val="57"/>
          <w:position w:val="2"/>
          <w:sz w:val="21"/>
          <w:szCs w:val="21"/>
          <w:lang w:val="fr-FR" w:eastAsia="en-US" w:bidi="ar-SA"/>
        </w:rPr>
        <w:t xml:space="preserve"> </w:t>
      </w:r>
      <w:r>
        <w:rPr>
          <w:rFonts w:hint="eastAsia" w:ascii="黑体" w:cs="宋体"/>
          <w:sz w:val="21"/>
          <w:szCs w:val="21"/>
          <w:lang w:val="en-US" w:eastAsia="zh-CN" w:bidi="ar-SA"/>
        </w:rPr>
        <w:t>X</w:t>
      </w:r>
      <w:r>
        <w:rPr>
          <w:rFonts w:ascii="黑体" w:hAnsi="宋体" w:eastAsia="宋体" w:cs="宋体"/>
          <w:spacing w:val="-5"/>
          <w:sz w:val="21"/>
          <w:szCs w:val="21"/>
          <w:lang w:val="fr-FR" w:eastAsia="en-US" w:bidi="ar-SA"/>
        </w:rPr>
        <w:t xml:space="preserve"> </w:t>
      </w:r>
      <w:r>
        <w:rPr>
          <w:rFonts w:hint="eastAsia" w:ascii="黑体" w:hAnsi="宋体" w:eastAsia="宋体" w:cs="宋体"/>
          <w:spacing w:val="-5"/>
          <w:sz w:val="21"/>
          <w:szCs w:val="21"/>
          <w:lang w:val="en-US" w:eastAsia="zh-CN" w:bidi="ar-SA"/>
        </w:rPr>
        <w:t>XX</w:t>
      </w:r>
    </w:p>
    <w:p>
      <w:pPr>
        <w:pStyle w:val="6"/>
        <w:tabs>
          <w:tab w:val="center" w:pos="6259"/>
          <w:tab w:val="right" w:pos="8964"/>
        </w:tabs>
        <w:ind w:left="0" w:leftChars="0" w:firstLine="0" w:firstLineChars="0"/>
        <w:jc w:val="left"/>
        <w:rPr>
          <w:rFonts w:hint="default" w:ascii="Times New Roman" w:eastAsia="宋体"/>
          <w:b/>
          <w:sz w:val="19"/>
          <w:lang w:val="en-US" w:eastAsia="zh-CN"/>
        </w:rPr>
      </w:pPr>
      <w:r>
        <w:rPr>
          <w:rFonts w:hint="eastAsia" w:eastAsia="宋体"/>
          <w:spacing w:val="-4"/>
          <w:w w:val="130"/>
          <w:lang w:val="en-US" w:eastAsia="zh-CN"/>
        </w:rPr>
        <w:t xml:space="preserve">                 T/IMAS</w:t>
      </w:r>
    </w:p>
    <w:p>
      <w:pPr>
        <w:tabs>
          <w:tab w:val="left" w:pos="1885"/>
          <w:tab w:val="left" w:pos="3411"/>
          <w:tab w:val="left" w:pos="4937"/>
          <w:tab w:val="left" w:pos="6464"/>
          <w:tab w:val="left" w:pos="7990"/>
          <w:tab w:val="left" w:pos="9517"/>
        </w:tabs>
        <w:spacing w:before="33"/>
        <w:ind w:left="358" w:right="0" w:firstLine="0"/>
        <w:jc w:val="center"/>
        <w:rPr>
          <w:rFonts w:hint="eastAsia" w:ascii="黑体" w:eastAsia="黑体"/>
          <w:sz w:val="48"/>
          <w:lang w:val="fr-FR" w:eastAsia="en-US"/>
        </w:rPr>
      </w:pPr>
      <w:r>
        <w:rPr>
          <w:rFonts w:hint="eastAsia" w:ascii="黑体" w:eastAsia="黑体"/>
          <w:spacing w:val="-10"/>
          <w:sz w:val="48"/>
          <w:lang w:val="en-US" w:eastAsia="zh-CN"/>
        </w:rPr>
        <w:t xml:space="preserve">                团  体  </w:t>
      </w:r>
      <w:r>
        <w:rPr>
          <w:rFonts w:hint="eastAsia" w:ascii="黑体" w:eastAsia="黑体"/>
          <w:spacing w:val="-10"/>
          <w:sz w:val="48"/>
          <w:lang w:val="fr-FR" w:eastAsia="en-US"/>
        </w:rPr>
        <w:t>标</w:t>
      </w:r>
      <w:r>
        <w:rPr>
          <w:rFonts w:hint="eastAsia" w:ascii="黑体" w:eastAsia="黑体"/>
          <w:sz w:val="48"/>
          <w:lang w:val="en-US" w:eastAsia="zh-CN"/>
        </w:rPr>
        <w:t xml:space="preserve">  </w:t>
      </w:r>
      <w:r>
        <w:rPr>
          <w:rFonts w:hint="eastAsia" w:ascii="黑体" w:eastAsia="黑体"/>
          <w:spacing w:val="-10"/>
          <w:sz w:val="48"/>
          <w:lang w:val="fr-FR" w:eastAsia="en-US"/>
        </w:rPr>
        <w:t>准</w:t>
      </w:r>
    </w:p>
    <w:p>
      <w:pPr>
        <w:spacing w:before="341"/>
        <w:ind w:left="0" w:right="871" w:firstLine="0"/>
        <w:jc w:val="right"/>
        <w:rPr>
          <w:rFonts w:hint="eastAsia" w:ascii="黑体" w:hAnsi="黑体" w:eastAsia="宋体"/>
          <w:sz w:val="28"/>
          <w:lang w:val="fr-FR" w:eastAsia="zh-CN"/>
        </w:rPr>
      </w:pPr>
      <w:r>
        <w:rPr>
          <w:rFonts w:hint="eastAsia" w:ascii="黑体" w:hAnsi="黑体"/>
          <w:sz w:val="28"/>
          <w:lang w:val="fr-FR" w:eastAsia="en-US"/>
        </w:rPr>
        <w:t>T/IMAS</w:t>
      </w:r>
      <w:r>
        <w:rPr>
          <w:rFonts w:hint="eastAsia" w:ascii="黑体" w:hAnsi="黑体"/>
          <w:sz w:val="28"/>
          <w:lang w:val="en-US" w:eastAsia="zh-CN"/>
        </w:rPr>
        <w:t xml:space="preserve"> </w:t>
      </w:r>
      <w:r>
        <w:rPr>
          <w:rFonts w:ascii="黑体" w:hAnsi="黑体"/>
          <w:spacing w:val="-14"/>
          <w:sz w:val="28"/>
          <w:lang w:val="fr-FR" w:eastAsia="en-US"/>
        </w:rPr>
        <w:t xml:space="preserve"> </w:t>
      </w:r>
      <w:r>
        <w:rPr>
          <w:rFonts w:hint="eastAsia" w:ascii="黑体" w:hAnsi="黑体"/>
          <w:sz w:val="28"/>
          <w:lang w:val="en-US" w:eastAsia="zh-CN"/>
        </w:rPr>
        <w:t>XXX</w:t>
      </w:r>
      <w:r>
        <w:rPr>
          <w:rFonts w:ascii="黑体" w:hAnsi="黑体"/>
          <w:sz w:val="28"/>
          <w:lang w:val="fr-FR" w:eastAsia="en-US"/>
        </w:rPr>
        <w:t>—</w:t>
      </w:r>
      <w:r>
        <w:rPr>
          <w:rFonts w:ascii="黑体" w:hAnsi="黑体"/>
          <w:spacing w:val="-4"/>
          <w:sz w:val="28"/>
          <w:lang w:val="fr-FR" w:eastAsia="en-US"/>
        </w:rPr>
        <w:t>202</w:t>
      </w:r>
      <w:r>
        <w:rPr>
          <w:rFonts w:hint="eastAsia" w:ascii="黑体" w:hAnsi="黑体"/>
          <w:spacing w:val="-4"/>
          <w:sz w:val="28"/>
          <w:lang w:val="en-US" w:eastAsia="zh-CN"/>
        </w:rPr>
        <w:t>4</w:t>
      </w:r>
    </w:p>
    <w:p>
      <w:pPr>
        <w:widowControl w:val="0"/>
        <w:autoSpaceDE w:val="0"/>
        <w:autoSpaceDN w:val="0"/>
        <w:spacing w:before="0" w:after="0" w:line="240" w:lineRule="auto"/>
        <w:ind w:left="0" w:right="0"/>
        <w:jc w:val="left"/>
        <w:rPr>
          <w:rFonts w:ascii="黑体" w:hAnsi="宋体" w:eastAsia="宋体" w:cs="宋体"/>
          <w:sz w:val="20"/>
          <w:szCs w:val="21"/>
          <w:lang w:val="fr-FR" w:eastAsia="en-US" w:bidi="ar-SA"/>
        </w:rPr>
      </w:pPr>
    </w:p>
    <w:p>
      <w:pPr>
        <w:widowControl w:val="0"/>
        <w:autoSpaceDE w:val="0"/>
        <w:autoSpaceDN w:val="0"/>
        <w:spacing w:before="6" w:after="0" w:line="240" w:lineRule="auto"/>
        <w:ind w:left="0" w:right="0"/>
        <w:jc w:val="left"/>
        <w:rPr>
          <w:rFonts w:ascii="黑体" w:hAnsi="宋体" w:eastAsia="宋体" w:cs="宋体"/>
          <w:sz w:val="29"/>
          <w:szCs w:val="21"/>
          <w:lang w:val="fr-FR" w:eastAsia="en-US" w:bidi="ar-SA"/>
        </w:rPr>
      </w:pPr>
      <w:r>
        <w:rPr>
          <w:rFonts w:ascii="宋体" w:hAnsi="宋体" w:eastAsia="宋体" w:cs="宋体"/>
          <w:sz w:val="21"/>
          <w:szCs w:val="21"/>
          <w:lang w:val="fr-FR" w:eastAsia="en-US" w:bidi="ar-SA"/>
        </w:rPr>
        <w:drawing>
          <wp:anchor distT="0" distB="0" distL="0" distR="0" simplePos="0" relativeHeight="251661312" behindDoc="0" locked="0" layoutInCell="1" allowOverlap="1">
            <wp:simplePos x="0" y="0"/>
            <wp:positionH relativeFrom="page">
              <wp:posOffset>900430</wp:posOffset>
            </wp:positionH>
            <wp:positionV relativeFrom="paragraph">
              <wp:posOffset>255270</wp:posOffset>
            </wp:positionV>
            <wp:extent cx="6120130" cy="952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4" cstate="print"/>
                    <a:stretch>
                      <a:fillRect/>
                    </a:stretch>
                  </pic:blipFill>
                  <pic:spPr>
                    <a:xfrm>
                      <a:off x="0" y="0"/>
                      <a:ext cx="6120130" cy="9525"/>
                    </a:xfrm>
                    <a:prstGeom prst="rect">
                      <a:avLst/>
                    </a:prstGeom>
                  </pic:spPr>
                </pic:pic>
              </a:graphicData>
            </a:graphic>
          </wp:anchor>
        </w:drawing>
      </w:r>
    </w:p>
    <w:p>
      <w:pPr>
        <w:widowControl w:val="0"/>
        <w:autoSpaceDE w:val="0"/>
        <w:autoSpaceDN w:val="0"/>
        <w:spacing w:before="0" w:after="0" w:line="240" w:lineRule="auto"/>
        <w:ind w:left="0" w:right="0"/>
        <w:jc w:val="left"/>
        <w:rPr>
          <w:rFonts w:ascii="黑体" w:hAnsi="宋体" w:eastAsia="宋体" w:cs="宋体"/>
          <w:sz w:val="28"/>
          <w:szCs w:val="21"/>
          <w:lang w:val="fr-FR" w:eastAsia="en-US" w:bidi="ar-SA"/>
        </w:rPr>
      </w:pPr>
    </w:p>
    <w:p>
      <w:pPr>
        <w:widowControl w:val="0"/>
        <w:autoSpaceDE w:val="0"/>
        <w:autoSpaceDN w:val="0"/>
        <w:spacing w:before="0" w:after="0" w:line="240" w:lineRule="auto"/>
        <w:ind w:left="0" w:right="0"/>
        <w:jc w:val="left"/>
        <w:rPr>
          <w:rFonts w:ascii="黑体" w:hAnsi="宋体" w:eastAsia="宋体" w:cs="宋体"/>
          <w:sz w:val="28"/>
          <w:szCs w:val="21"/>
          <w:lang w:val="fr-FR" w:eastAsia="en-US" w:bidi="ar-SA"/>
        </w:rPr>
      </w:pPr>
    </w:p>
    <w:p>
      <w:pPr>
        <w:widowControl w:val="0"/>
        <w:autoSpaceDE w:val="0"/>
        <w:autoSpaceDN w:val="0"/>
        <w:spacing w:before="0" w:after="0" w:line="240" w:lineRule="auto"/>
        <w:ind w:left="0" w:right="0"/>
        <w:jc w:val="left"/>
        <w:rPr>
          <w:rFonts w:ascii="黑体" w:hAnsi="宋体" w:eastAsia="宋体" w:cs="宋体"/>
          <w:sz w:val="28"/>
          <w:szCs w:val="21"/>
          <w:lang w:val="fr-FR" w:eastAsia="en-US" w:bidi="ar-SA"/>
        </w:rPr>
      </w:pPr>
    </w:p>
    <w:p>
      <w:pPr>
        <w:widowControl w:val="0"/>
        <w:autoSpaceDE w:val="0"/>
        <w:autoSpaceDN w:val="0"/>
        <w:spacing w:before="0" w:after="0" w:line="240" w:lineRule="auto"/>
        <w:ind w:left="0" w:right="0"/>
        <w:jc w:val="left"/>
        <w:rPr>
          <w:rFonts w:ascii="黑体" w:hAnsi="宋体" w:eastAsia="宋体" w:cs="宋体"/>
          <w:sz w:val="28"/>
          <w:szCs w:val="21"/>
          <w:lang w:val="fr-FR" w:eastAsia="en-US" w:bidi="ar-SA"/>
        </w:rPr>
      </w:pPr>
    </w:p>
    <w:p>
      <w:pPr>
        <w:widowControl w:val="0"/>
        <w:autoSpaceDE w:val="0"/>
        <w:autoSpaceDN w:val="0"/>
        <w:spacing w:before="0" w:after="0" w:line="240" w:lineRule="auto"/>
        <w:ind w:left="0" w:right="0"/>
        <w:jc w:val="left"/>
        <w:rPr>
          <w:rFonts w:ascii="黑体" w:hAnsi="宋体" w:eastAsia="宋体" w:cs="宋体"/>
          <w:sz w:val="28"/>
          <w:szCs w:val="21"/>
          <w:lang w:val="fr-FR" w:eastAsia="en-US" w:bidi="ar-SA"/>
        </w:rPr>
      </w:pPr>
    </w:p>
    <w:p>
      <w:pPr>
        <w:widowControl w:val="0"/>
        <w:autoSpaceDE w:val="0"/>
        <w:autoSpaceDN w:val="0"/>
        <w:spacing w:before="8" w:after="0" w:line="240" w:lineRule="auto"/>
        <w:ind w:left="0" w:right="0"/>
        <w:jc w:val="left"/>
        <w:rPr>
          <w:rFonts w:ascii="黑体" w:hAnsi="宋体" w:eastAsia="宋体" w:cs="宋体"/>
          <w:sz w:val="30"/>
          <w:szCs w:val="21"/>
          <w:lang w:val="fr-FR" w:eastAsia="en-US" w:bidi="ar-SA"/>
        </w:rPr>
      </w:pPr>
    </w:p>
    <w:p>
      <w:pPr>
        <w:spacing w:before="0"/>
        <w:ind w:left="586" w:right="0" w:firstLine="0"/>
        <w:jc w:val="center"/>
        <w:rPr>
          <w:rFonts w:hint="eastAsia" w:ascii="黑体" w:hAnsi="黑体" w:eastAsia="黑体" w:cs="黑体"/>
          <w:b/>
          <w:bCs/>
          <w:sz w:val="52"/>
          <w:szCs w:val="52"/>
          <w:lang w:val="fr-FR" w:eastAsia="en-US"/>
        </w:rPr>
      </w:pPr>
      <w:r>
        <w:rPr>
          <w:rFonts w:hint="eastAsia" w:ascii="黑体" w:hAnsi="黑体" w:eastAsia="黑体" w:cs="黑体"/>
          <w:b/>
          <w:bCs/>
          <w:spacing w:val="-3"/>
          <w:sz w:val="52"/>
          <w:szCs w:val="52"/>
          <w:lang w:val="en-US" w:eastAsia="zh-CN"/>
        </w:rPr>
        <w:t>展览</w:t>
      </w:r>
      <w:r>
        <w:rPr>
          <w:rFonts w:hint="eastAsia" w:ascii="黑体" w:hAnsi="黑体" w:eastAsia="黑体" w:cs="黑体"/>
          <w:b/>
          <w:bCs/>
          <w:spacing w:val="-4"/>
          <w:sz w:val="52"/>
          <w:szCs w:val="52"/>
        </w:rPr>
        <w:t>场馆运营</w:t>
      </w:r>
      <w:r>
        <w:rPr>
          <w:rFonts w:hint="eastAsia" w:ascii="黑体" w:hAnsi="黑体" w:eastAsia="黑体" w:cs="黑体"/>
          <w:b/>
          <w:bCs/>
          <w:spacing w:val="-3"/>
          <w:sz w:val="52"/>
          <w:szCs w:val="52"/>
          <w:lang w:val="fr-FR" w:eastAsia="en-US"/>
        </w:rPr>
        <w:t>规范</w:t>
      </w:r>
    </w:p>
    <w:p>
      <w:pPr>
        <w:spacing w:before="391"/>
        <w:ind w:left="448" w:right="0" w:firstLine="0"/>
        <w:jc w:val="center"/>
        <w:rPr>
          <w:rFonts w:ascii="Times New Roman"/>
          <w:sz w:val="28"/>
          <w:lang w:val="fr-FR" w:eastAsia="en-US"/>
        </w:rPr>
      </w:pPr>
      <w:r>
        <w:rPr>
          <w:rFonts w:ascii="Times New Roman"/>
          <w:sz w:val="28"/>
          <w:lang w:val="fr-FR" w:eastAsia="en-US"/>
        </w:rPr>
        <w:t>Convention</w:t>
      </w:r>
      <w:r>
        <w:rPr>
          <w:rFonts w:ascii="Times New Roman"/>
          <w:spacing w:val="-11"/>
          <w:sz w:val="28"/>
          <w:lang w:val="fr-FR" w:eastAsia="en-US"/>
        </w:rPr>
        <w:t xml:space="preserve"> </w:t>
      </w:r>
      <w:r>
        <w:rPr>
          <w:rFonts w:ascii="Times New Roman"/>
          <w:sz w:val="28"/>
          <w:lang w:val="fr-FR" w:eastAsia="en-US"/>
        </w:rPr>
        <w:t>and</w:t>
      </w:r>
      <w:r>
        <w:rPr>
          <w:rFonts w:ascii="Times New Roman"/>
          <w:spacing w:val="-6"/>
          <w:sz w:val="28"/>
          <w:lang w:val="fr-FR" w:eastAsia="en-US"/>
        </w:rPr>
        <w:t xml:space="preserve"> </w:t>
      </w:r>
      <w:r>
        <w:rPr>
          <w:rFonts w:ascii="Times New Roman"/>
          <w:sz w:val="28"/>
          <w:lang w:val="fr-FR" w:eastAsia="en-US"/>
        </w:rPr>
        <w:t>exhibition</w:t>
      </w:r>
      <w:r>
        <w:rPr>
          <w:rFonts w:ascii="Times New Roman"/>
          <w:spacing w:val="-6"/>
          <w:sz w:val="28"/>
          <w:lang w:val="fr-FR" w:eastAsia="en-US"/>
        </w:rPr>
        <w:t xml:space="preserve"> </w:t>
      </w:r>
      <w:r>
        <w:rPr>
          <w:rFonts w:ascii="Times New Roman"/>
          <w:sz w:val="28"/>
          <w:lang w:val="fr-FR" w:eastAsia="en-US"/>
        </w:rPr>
        <w:t>service</w:t>
      </w:r>
      <w:r>
        <w:rPr>
          <w:rFonts w:ascii="Times New Roman"/>
          <w:spacing w:val="-5"/>
          <w:sz w:val="28"/>
          <w:lang w:val="fr-FR" w:eastAsia="en-US"/>
        </w:rPr>
        <w:t xml:space="preserve"> </w:t>
      </w:r>
      <w:r>
        <w:rPr>
          <w:rFonts w:ascii="Times New Roman"/>
          <w:sz w:val="28"/>
          <w:lang w:val="fr-FR" w:eastAsia="en-US"/>
        </w:rPr>
        <w:t>quality</w:t>
      </w:r>
      <w:r>
        <w:rPr>
          <w:rFonts w:ascii="Times New Roman"/>
          <w:spacing w:val="-6"/>
          <w:sz w:val="28"/>
          <w:lang w:val="fr-FR" w:eastAsia="en-US"/>
        </w:rPr>
        <w:t xml:space="preserve"> </w:t>
      </w:r>
      <w:r>
        <w:rPr>
          <w:rFonts w:ascii="Times New Roman"/>
          <w:sz w:val="28"/>
          <w:lang w:val="fr-FR" w:eastAsia="en-US"/>
        </w:rPr>
        <w:t>evaluation</w:t>
      </w:r>
      <w:r>
        <w:rPr>
          <w:rFonts w:ascii="Times New Roman"/>
          <w:spacing w:val="-6"/>
          <w:sz w:val="28"/>
          <w:lang w:val="fr-FR" w:eastAsia="en-US"/>
        </w:rPr>
        <w:t xml:space="preserve"> </w:t>
      </w:r>
      <w:r>
        <w:rPr>
          <w:rFonts w:ascii="Times New Roman"/>
          <w:spacing w:val="-2"/>
          <w:sz w:val="28"/>
          <w:lang w:val="fr-FR" w:eastAsia="en-US"/>
        </w:rPr>
        <w:t>specifications</w:t>
      </w: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r>
        <w:rPr>
          <w:rFonts w:hint="eastAsia" w:ascii="Times New Roman" w:hAnsi="宋体" w:eastAsia="宋体" w:cs="宋体"/>
          <w:sz w:val="20"/>
          <w:szCs w:val="21"/>
          <w:lang w:val="en-US" w:eastAsia="zh-CN" w:bidi="ar-SA"/>
        </w:rPr>
        <w:t xml:space="preserve">                                             </w:t>
      </w:r>
      <w:r>
        <w:rPr>
          <w:rFonts w:hint="eastAsia" w:ascii="Times New Roman"/>
          <w:sz w:val="36"/>
          <w:szCs w:val="36"/>
          <w:lang w:val="en-US" w:eastAsia="zh-CN"/>
        </w:rPr>
        <w:t xml:space="preserve">                            </w:t>
      </w:r>
      <w:r>
        <w:rPr>
          <w:rFonts w:hint="eastAsia" w:ascii="Times New Roman"/>
          <w:b w:val="0"/>
          <w:bCs w:val="0"/>
          <w:sz w:val="36"/>
          <w:szCs w:val="36"/>
          <w:lang w:val="en-US" w:eastAsia="zh-CN"/>
        </w:rPr>
        <w:t>（征询意见稿）</w:t>
      </w: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9" w:after="0" w:line="240" w:lineRule="auto"/>
        <w:ind w:left="0" w:right="0"/>
        <w:jc w:val="left"/>
        <w:rPr>
          <w:rFonts w:ascii="Times New Roman" w:hAnsi="宋体" w:eastAsia="宋体" w:cs="宋体"/>
          <w:sz w:val="13"/>
          <w:szCs w:val="21"/>
          <w:lang w:val="fr-FR" w:eastAsia="en-US" w:bidi="ar-SA"/>
        </w:rPr>
      </w:pPr>
      <w:bookmarkStart w:id="0" w:name="_GoBack"/>
      <w:bookmarkEnd w:id="0"/>
      <w:r>
        <w:rPr>
          <w:rFonts w:ascii="宋体" w:hAnsi="宋体" w:eastAsia="宋体" w:cs="宋体"/>
          <w:sz w:val="21"/>
          <w:szCs w:val="21"/>
          <w:lang w:val="fr-FR" w:eastAsia="en-US" w:bidi="ar-SA"/>
        </w:rPr>
        <w:pict>
          <v:shape id="_x0000_s1027" o:spid="_x0000_s1027" o:spt="202" type="#_x0000_t202" style="position:absolute;left:0pt;margin-left:438.7pt;margin-top:9.1pt;height:14.05pt;width:116.6pt;mso-position-horizontal-relative:page;z-index:-251654144;mso-width-relative:page;mso-height-relative:page;" filled="f" stroked="f" coordsize="21600,21600">
            <v:path/>
            <v:fill on="f" focussize="0,0"/>
            <v:stroke on="f" joinstyle="miter"/>
            <v:imagedata o:title=""/>
            <o:lock v:ext="edit"/>
            <v:textbox inset="0mm,0mm,0mm,0mm">
              <w:txbxContent>
                <w:p>
                  <w:pPr>
                    <w:spacing w:before="0" w:line="281" w:lineRule="exact"/>
                    <w:ind w:left="0" w:right="0" w:firstLine="0"/>
                    <w:jc w:val="left"/>
                    <w:rPr>
                      <w:rFonts w:hint="eastAsia" w:ascii="黑体" w:eastAsia="黑体"/>
                      <w:sz w:val="28"/>
                      <w:lang w:val="fr-FR" w:eastAsia="en-US"/>
                    </w:rPr>
                  </w:pPr>
                  <w:r>
                    <w:rPr>
                      <w:rFonts w:hint="eastAsia" w:ascii="黑体" w:eastAsia="黑体"/>
                      <w:spacing w:val="-2"/>
                      <w:sz w:val="28"/>
                      <w:lang w:val="fr-FR" w:eastAsia="en-US"/>
                    </w:rPr>
                    <w:t>202</w:t>
                  </w:r>
                  <w:r>
                    <w:rPr>
                      <w:rFonts w:hint="eastAsia" w:ascii="黑体" w:eastAsia="黑体"/>
                      <w:spacing w:val="-2"/>
                      <w:sz w:val="28"/>
                      <w:lang w:val="en-US" w:eastAsia="zh-CN"/>
                    </w:rPr>
                    <w:t>4</w:t>
                  </w:r>
                  <w:r>
                    <w:rPr>
                      <w:rFonts w:hint="eastAsia" w:ascii="黑体" w:eastAsia="黑体"/>
                      <w:spacing w:val="-46"/>
                      <w:sz w:val="28"/>
                      <w:lang w:val="fr-FR" w:eastAsia="en-US"/>
                    </w:rPr>
                    <w:t>-</w:t>
                  </w:r>
                  <w:r>
                    <w:rPr>
                      <w:rFonts w:hint="eastAsia" w:ascii="黑体" w:eastAsia="黑体"/>
                      <w:spacing w:val="-2"/>
                      <w:sz w:val="28"/>
                      <w:lang w:val="en-US" w:eastAsia="zh-CN"/>
                    </w:rPr>
                    <w:t>5</w:t>
                  </w:r>
                  <w:r>
                    <w:rPr>
                      <w:rFonts w:hint="eastAsia" w:ascii="黑体" w:eastAsia="黑体"/>
                      <w:spacing w:val="-46"/>
                      <w:sz w:val="28"/>
                      <w:lang w:val="fr-FR" w:eastAsia="en-US"/>
                    </w:rPr>
                    <w:t>-</w:t>
                  </w:r>
                  <w:r>
                    <w:rPr>
                      <w:rFonts w:hint="eastAsia" w:ascii="黑体" w:eastAsia="黑体"/>
                      <w:spacing w:val="-2"/>
                      <w:sz w:val="28"/>
                      <w:lang w:val="en-US" w:eastAsia="zh-CN"/>
                    </w:rPr>
                    <w:t>10</w:t>
                  </w:r>
                  <w:r>
                    <w:rPr>
                      <w:rFonts w:hint="eastAsia" w:ascii="黑体" w:eastAsia="黑体"/>
                      <w:spacing w:val="-27"/>
                      <w:sz w:val="28"/>
                      <w:lang w:val="fr-FR" w:eastAsia="en-US"/>
                    </w:rPr>
                    <w:t xml:space="preserve"> 实施</w:t>
                  </w:r>
                </w:p>
              </w:txbxContent>
            </v:textbox>
          </v:shape>
        </w:pict>
      </w:r>
    </w:p>
    <w:p>
      <w:pPr>
        <w:spacing w:after="0"/>
        <w:rPr>
          <w:rFonts w:ascii="Times New Roman"/>
          <w:sz w:val="13"/>
        </w:rPr>
        <w:sectPr>
          <w:headerReference r:id="rId5" w:type="default"/>
          <w:footerReference r:id="rId7" w:type="default"/>
          <w:headerReference r:id="rId6" w:type="even"/>
          <w:pgSz w:w="11910" w:h="16840"/>
          <w:pgMar w:top="480" w:right="260" w:bottom="280" w:left="240" w:header="720" w:footer="720" w:gutter="0"/>
          <w:cols w:space="720" w:num="1"/>
        </w:sectPr>
      </w:pPr>
      <w:r>
        <w:rPr>
          <w:lang w:val="fr-FR" w:eastAsia="en-US"/>
        </w:rPr>
        <w:pict>
          <v:shape id="docshape3" o:spid="_x0000_s1028" o:spt="202" type="#_x0000_t202" style="position:absolute;left:0pt;margin-left:177.6pt;margin-top:55.35pt;height:19.3pt;width:207.75pt;mso-position-horizontal-relative:page;z-index:-251653120;mso-width-relative:page;mso-height-relative:page;" filled="f" stroked="f" coordsize="21600,21600">
            <v:path/>
            <v:fill on="f" focussize="0,0"/>
            <v:stroke on="f"/>
            <v:imagedata o:title=""/>
            <o:lock v:ext="edit" aspectratio="f"/>
            <v:textbox inset="0mm,0mm,0mm,0mm">
              <w:txbxContent>
                <w:p>
                  <w:pPr>
                    <w:spacing w:before="0" w:line="281" w:lineRule="exact"/>
                    <w:ind w:left="0" w:right="0" w:firstLine="0"/>
                    <w:jc w:val="left"/>
                    <w:rPr>
                      <w:rFonts w:hint="default" w:ascii="黑体" w:eastAsia="黑体"/>
                      <w:sz w:val="28"/>
                      <w:lang w:val="en-US" w:eastAsia="en-US"/>
                    </w:rPr>
                  </w:pPr>
                  <w:r>
                    <w:rPr>
                      <w:rFonts w:hint="eastAsia" w:ascii="黑体" w:eastAsia="黑体"/>
                      <w:spacing w:val="-3"/>
                      <w:sz w:val="28"/>
                      <w:lang w:val="en-US" w:eastAsia="zh-CN"/>
                    </w:rPr>
                    <w:t xml:space="preserve">内蒙古会展经济科学发展研究会  </w:t>
                  </w:r>
                </w:p>
              </w:txbxContent>
            </v:textbox>
          </v:shape>
        </w:pict>
      </w:r>
      <w:r>
        <w:rPr>
          <w:lang w:val="fr-FR" w:eastAsia="en-US"/>
        </w:rPr>
        <w:pict>
          <v:shape id="docshape4" o:spid="_x0000_s1029" o:spt="202" type="#_x0000_t202" style="position:absolute;left:0pt;margin-left:395.8pt;margin-top:55.35pt;height:17.1pt;width:45.35pt;mso-position-horizontal-relative:page;mso-wrap-distance-bottom:0pt;mso-wrap-distance-top:0pt;z-index:-251652096;mso-width-relative:page;mso-height-relative:page;" filled="f" stroked="f" coordsize="21600,21600">
            <v:path/>
            <v:fill on="f" focussize="0,0"/>
            <v:stroke on="f"/>
            <v:imagedata o:title=""/>
            <o:lock v:ext="edit" aspectratio="f"/>
            <v:textbox inset="0mm,0mm,0mm,0mm">
              <w:txbxContent>
                <w:p>
                  <w:pPr>
                    <w:spacing w:before="0" w:line="281" w:lineRule="exact"/>
                    <w:ind w:left="0" w:right="0" w:firstLine="0"/>
                    <w:jc w:val="left"/>
                    <w:rPr>
                      <w:rFonts w:hint="eastAsia" w:ascii="黑体" w:eastAsia="黑体"/>
                      <w:sz w:val="28"/>
                      <w:lang w:val="fr-FR" w:eastAsia="en-US"/>
                    </w:rPr>
                  </w:pPr>
                  <w:r>
                    <w:rPr>
                      <w:rFonts w:hint="eastAsia" w:ascii="黑体" w:eastAsia="黑体"/>
                      <w:spacing w:val="-24"/>
                      <w:sz w:val="28"/>
                      <w:lang w:val="fr-FR" w:eastAsia="en-US"/>
                    </w:rPr>
                    <w:t>发 布</w:t>
                  </w:r>
                </w:p>
              </w:txbxContent>
            </v:textbox>
            <w10:wrap type="topAndBottom"/>
          </v:shape>
        </w:pict>
      </w:r>
      <w:r>
        <w:rPr>
          <w:lang w:val="fr-FR" w:eastAsia="en-US"/>
        </w:rPr>
        <w:pict>
          <v:shape id="docshape1" o:spid="_x0000_s1030" o:spt="202" type="#_x0000_t202" style="position:absolute;left:0pt;margin-left:70.8pt;margin-top:1.95pt;height:11.1pt;width:116.7pt;mso-position-horizontal-relative:page;z-index:-251654144;mso-width-relative:page;mso-height-relative:page;" filled="f" stroked="f" coordsize="21600,21600">
            <v:path/>
            <v:fill on="f" focussize="0,0"/>
            <v:stroke on="f"/>
            <v:imagedata o:title=""/>
            <o:lock v:ext="edit" aspectratio="f"/>
            <v:textbox inset="0mm,0mm,0mm,0mm">
              <w:txbxContent>
                <w:p>
                  <w:pPr>
                    <w:spacing w:before="0" w:line="281" w:lineRule="exact"/>
                    <w:ind w:left="0" w:right="0" w:firstLine="0"/>
                    <w:jc w:val="left"/>
                    <w:rPr>
                      <w:rFonts w:hint="eastAsia" w:ascii="黑体" w:eastAsia="黑体"/>
                      <w:sz w:val="28"/>
                      <w:lang w:val="fr-FR" w:eastAsia="en-US"/>
                    </w:rPr>
                  </w:pPr>
                  <w:r>
                    <w:rPr>
                      <w:rFonts w:hint="eastAsia" w:ascii="黑体" w:eastAsia="黑体"/>
                      <w:spacing w:val="-2"/>
                      <w:sz w:val="28"/>
                      <w:lang w:val="fr-FR" w:eastAsia="en-US"/>
                    </w:rPr>
                    <w:t>202</w:t>
                  </w:r>
                  <w:r>
                    <w:rPr>
                      <w:rFonts w:hint="eastAsia" w:ascii="黑体" w:eastAsia="黑体"/>
                      <w:spacing w:val="-2"/>
                      <w:sz w:val="28"/>
                      <w:lang w:val="en-US" w:eastAsia="zh-CN"/>
                    </w:rPr>
                    <w:t>4</w:t>
                  </w:r>
                  <w:r>
                    <w:rPr>
                      <w:rFonts w:hint="eastAsia" w:ascii="黑体" w:eastAsia="黑体"/>
                      <w:spacing w:val="-47"/>
                      <w:sz w:val="28"/>
                      <w:lang w:val="fr-FR" w:eastAsia="en-US"/>
                    </w:rPr>
                    <w:t>-</w:t>
                  </w:r>
                  <w:r>
                    <w:rPr>
                      <w:rFonts w:hint="eastAsia" w:ascii="黑体" w:eastAsia="黑体"/>
                      <w:spacing w:val="-2"/>
                      <w:sz w:val="28"/>
                      <w:lang w:val="en-US" w:eastAsia="zh-CN"/>
                    </w:rPr>
                    <w:t>4</w:t>
                  </w:r>
                  <w:r>
                    <w:rPr>
                      <w:rFonts w:hint="eastAsia" w:ascii="黑体" w:eastAsia="黑体"/>
                      <w:spacing w:val="-46"/>
                      <w:sz w:val="28"/>
                      <w:lang w:val="fr-FR" w:eastAsia="en-US"/>
                    </w:rPr>
                    <w:t xml:space="preserve">- </w:t>
                  </w:r>
                  <w:r>
                    <w:rPr>
                      <w:rFonts w:hint="eastAsia" w:ascii="黑体" w:eastAsia="黑体"/>
                      <w:spacing w:val="-2"/>
                      <w:sz w:val="28"/>
                      <w:lang w:val="en-US" w:eastAsia="zh-CN"/>
                    </w:rPr>
                    <w:t>10</w:t>
                  </w:r>
                  <w:r>
                    <w:rPr>
                      <w:rFonts w:hint="eastAsia" w:ascii="黑体" w:eastAsia="黑体"/>
                      <w:spacing w:val="-28"/>
                      <w:sz w:val="28"/>
                      <w:lang w:val="fr-FR" w:eastAsia="en-US"/>
                    </w:rPr>
                    <w:t xml:space="preserve"> 发布</w:t>
                  </w:r>
                </w:p>
              </w:txbxContent>
            </v:textbox>
          </v:shape>
        </w:pict>
      </w: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0" w:after="0" w:line="240" w:lineRule="auto"/>
        <w:ind w:left="0" w:right="0"/>
        <w:jc w:val="left"/>
        <w:rPr>
          <w:rFonts w:ascii="Times New Roman" w:hAnsi="宋体" w:eastAsia="宋体" w:cs="宋体"/>
          <w:sz w:val="20"/>
          <w:szCs w:val="21"/>
          <w:lang w:val="fr-FR" w:eastAsia="en-US" w:bidi="ar-SA"/>
        </w:rPr>
      </w:pPr>
    </w:p>
    <w:p>
      <w:pPr>
        <w:widowControl w:val="0"/>
        <w:autoSpaceDE w:val="0"/>
        <w:autoSpaceDN w:val="0"/>
        <w:spacing w:before="9" w:after="0" w:line="240" w:lineRule="auto"/>
        <w:ind w:left="0" w:right="0"/>
        <w:jc w:val="left"/>
        <w:rPr>
          <w:rFonts w:ascii="Times New Roman" w:hAnsi="宋体" w:eastAsia="宋体" w:cs="宋体"/>
          <w:sz w:val="21"/>
          <w:szCs w:val="21"/>
          <w:lang w:val="fr-FR" w:eastAsia="en-US" w:bidi="ar-SA"/>
        </w:rPr>
      </w:pPr>
    </w:p>
    <w:p>
      <w:pPr>
        <w:widowControl w:val="0"/>
        <w:autoSpaceDE w:val="0"/>
        <w:autoSpaceDN w:val="0"/>
        <w:spacing w:before="0" w:after="0" w:line="240" w:lineRule="auto"/>
        <w:ind w:left="2860" w:right="0"/>
        <w:jc w:val="left"/>
        <w:rPr>
          <w:rFonts w:ascii="Times New Roman" w:hAnsi="宋体" w:eastAsia="宋体" w:cs="宋体"/>
          <w:sz w:val="20"/>
          <w:szCs w:val="21"/>
          <w:lang w:val="fr-FR" w:eastAsia="en-US" w:bidi="ar-SA"/>
        </w:rPr>
      </w:pPr>
    </w:p>
    <w:p>
      <w:pPr>
        <w:spacing w:after="0"/>
        <w:rPr>
          <w:rFonts w:ascii="Times New Roman"/>
          <w:sz w:val="20"/>
        </w:rPr>
        <w:sectPr>
          <w:pgSz w:w="11910" w:h="16840"/>
          <w:pgMar w:top="1580" w:right="260" w:bottom="280" w:left="240" w:header="720" w:footer="720" w:gutter="0"/>
          <w:cols w:space="720" w:num="1"/>
        </w:sectPr>
      </w:pPr>
    </w:p>
    <w:p>
      <w:pPr>
        <w:pStyle w:val="3"/>
        <w:rPr>
          <w:rFonts w:ascii="Times New Roman"/>
          <w:sz w:val="20"/>
        </w:rPr>
      </w:pPr>
      <w:r>
        <w:rPr>
          <w:rFonts w:hint="eastAsia"/>
          <w:lang w:val="en-US" w:eastAsia="zh-CN"/>
        </w:rPr>
        <w:t xml:space="preserve"> </w:t>
      </w:r>
    </w:p>
    <w:p>
      <w:pPr>
        <w:pStyle w:val="3"/>
        <w:spacing w:before="6"/>
        <w:rPr>
          <w:rFonts w:ascii="Times New Roman"/>
          <w:sz w:val="20"/>
        </w:rPr>
      </w:pPr>
    </w:p>
    <w:p>
      <w:pPr>
        <w:widowControl w:val="0"/>
        <w:tabs>
          <w:tab w:val="left" w:pos="960"/>
        </w:tabs>
        <w:autoSpaceDE w:val="0"/>
        <w:autoSpaceDN w:val="0"/>
        <w:spacing w:before="54" w:after="0" w:line="240" w:lineRule="auto"/>
        <w:ind w:left="0" w:right="258" w:firstLine="4500" w:firstLineChars="1500"/>
        <w:jc w:val="both"/>
        <w:outlineLvl w:val="1"/>
        <w:rPr>
          <w:rFonts w:ascii="黑体" w:hAnsi="黑体" w:eastAsia="黑体" w:cs="黑体"/>
          <w:sz w:val="32"/>
          <w:szCs w:val="32"/>
          <w:lang w:val="fr-FR" w:eastAsia="en-US" w:bidi="ar-SA"/>
        </w:rPr>
      </w:pPr>
      <w:r>
        <w:rPr>
          <w:rFonts w:ascii="黑体" w:hAnsi="黑体" w:eastAsia="黑体" w:cs="黑体"/>
          <w:spacing w:val="-10"/>
          <w:sz w:val="32"/>
          <w:szCs w:val="32"/>
          <w:lang w:val="fr-FR" w:eastAsia="en-US" w:bidi="ar-SA"/>
        </w:rPr>
        <w:t>前</w:t>
      </w:r>
      <w:r>
        <w:rPr>
          <w:rFonts w:ascii="黑体" w:hAnsi="黑体" w:eastAsia="黑体" w:cs="黑体"/>
          <w:sz w:val="32"/>
          <w:szCs w:val="32"/>
          <w:lang w:val="fr-FR" w:eastAsia="en-US" w:bidi="ar-SA"/>
        </w:rPr>
        <w:tab/>
      </w:r>
      <w:r>
        <w:rPr>
          <w:rFonts w:ascii="黑体" w:hAnsi="黑体" w:eastAsia="黑体" w:cs="黑体"/>
          <w:spacing w:val="-10"/>
          <w:sz w:val="32"/>
          <w:szCs w:val="32"/>
          <w:lang w:val="fr-FR" w:eastAsia="en-US" w:bidi="ar-SA"/>
        </w:rPr>
        <w:t>言</w:t>
      </w:r>
    </w:p>
    <w:p>
      <w:pPr>
        <w:widowControl w:val="0"/>
        <w:autoSpaceDE w:val="0"/>
        <w:autoSpaceDN w:val="0"/>
        <w:spacing w:before="6" w:after="0" w:line="240" w:lineRule="auto"/>
        <w:ind w:left="0" w:right="0"/>
        <w:jc w:val="left"/>
        <w:rPr>
          <w:rFonts w:hint="default" w:ascii="黑体" w:hAnsi="宋体" w:eastAsia="宋体" w:cs="宋体"/>
          <w:sz w:val="46"/>
          <w:szCs w:val="21"/>
          <w:lang w:val="en-US" w:eastAsia="zh-CN" w:bidi="ar-SA"/>
        </w:rPr>
      </w:pP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zh-CN" w:bidi="ar-SA"/>
        </w:rPr>
        <w:t xml:space="preserve">    </w:t>
      </w:r>
      <w:r>
        <w:rPr>
          <w:rFonts w:hint="eastAsia" w:cs="宋体"/>
          <w:kern w:val="0"/>
          <w:sz w:val="22"/>
          <w:szCs w:val="21"/>
          <w:lang w:val="en-US" w:eastAsia="zh-CN" w:bidi="ar-SA"/>
        </w:rPr>
        <w:t xml:space="preserve">  </w:t>
      </w:r>
      <w:r>
        <w:rPr>
          <w:rFonts w:hint="eastAsia" w:ascii="宋体" w:hAnsi="宋体" w:eastAsia="宋体" w:cs="宋体"/>
          <w:kern w:val="0"/>
          <w:sz w:val="22"/>
          <w:szCs w:val="21"/>
          <w:lang w:val="en-US" w:eastAsia="en-US" w:bidi="ar-SA"/>
        </w:rPr>
        <w:t>本标准按照GB/T  1.1-2020《标准化工作导则  第1部分：标准化文件的结构和起草规则》的</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220" w:firstLineChars="1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规定起草。</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660" w:firstLineChars="3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请注意本文件的某些内容可能涉及专利，本文件的发布机构不承担识别这些专利的责任。</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660" w:firstLineChars="3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本文件由内蒙古会博科技发展有限责任公司提出。</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660" w:firstLineChars="3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本文件由内蒙古会展经济科学发展研究会归口。</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660" w:firstLineChars="3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本文件起草单位：内蒙古自治区博览中心、内蒙古财经大学、内蒙古艺术学院、内蒙古人事人才</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220" w:firstLineChars="1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公共服务中心、包头国际会展中心、内蒙古大学生创业联合会。</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660" w:firstLineChars="3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本文件主要起草人：尹慧明、狄建伟、徐昊、葛丽英、杨曦、田志馥、蒋柠、夏智慧、荆国栋、</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220" w:leftChars="100" w:right="0" w:firstLine="0" w:firstLineChars="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张惠、王德全、宫慧楠、武龙、查干乌拉、李建军、刘佳、李荣艳、张莉杰、蒋建苓、郭刚、汪士钦、</w:t>
      </w:r>
      <w:r>
        <w:rPr>
          <w:rFonts w:hint="eastAsia" w:ascii="宋体" w:hAnsi="宋体" w:eastAsia="宋体" w:cs="宋体"/>
          <w:kern w:val="0"/>
          <w:sz w:val="22"/>
          <w:szCs w:val="21"/>
          <w:lang w:val="en-US" w:eastAsia="en-US" w:bidi="ar-SA"/>
        </w:rPr>
        <w:br w:type="textWrapping"/>
      </w:r>
      <w:r>
        <w:rPr>
          <w:rFonts w:hint="eastAsia" w:ascii="宋体" w:hAnsi="宋体" w:eastAsia="宋体" w:cs="宋体"/>
          <w:kern w:val="0"/>
          <w:sz w:val="22"/>
          <w:szCs w:val="21"/>
          <w:lang w:val="en-US" w:eastAsia="en-US" w:bidi="ar-SA"/>
        </w:rPr>
        <w:t>李春阳、毕会娜、尹慧龙、狄钰珈、王又增、赵永文、董晨阳、王哲、格根宝力尔、王广飞、李涛、</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220" w:firstLineChars="100"/>
        <w:jc w:val="left"/>
        <w:textAlignment w:val="auto"/>
        <w:rPr>
          <w:rFonts w:hint="eastAsia" w:ascii="宋体" w:hAnsi="宋体" w:eastAsia="宋体" w:cs="宋体"/>
          <w:kern w:val="0"/>
          <w:sz w:val="22"/>
          <w:szCs w:val="21"/>
          <w:lang w:val="en-US" w:eastAsia="en-US" w:bidi="ar-SA"/>
        </w:rPr>
      </w:pPr>
      <w:r>
        <w:rPr>
          <w:rFonts w:hint="eastAsia" w:ascii="宋体" w:hAnsi="宋体" w:eastAsia="宋体" w:cs="宋体"/>
          <w:kern w:val="0"/>
          <w:sz w:val="22"/>
          <w:szCs w:val="21"/>
          <w:lang w:val="en-US" w:eastAsia="en-US" w:bidi="ar-SA"/>
        </w:rPr>
        <w:t>杜潇、尹玥淇、陈献勇、额博尔夫、秦思扬、杨森。</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800" w:firstLineChars="400"/>
        <w:jc w:val="left"/>
        <w:textAlignment w:val="auto"/>
        <w:rPr>
          <w:rFonts w:hint="default" w:ascii="宋体" w:hAnsi="宋体" w:eastAsia="宋体" w:cs="宋体"/>
          <w:sz w:val="20"/>
          <w:szCs w:val="21"/>
          <w:lang w:val="en-US" w:eastAsia="zh-CN" w:bidi="ar-SA"/>
        </w:rPr>
      </w:pPr>
    </w:p>
    <w:p>
      <w:pPr>
        <w:pStyle w:val="3"/>
        <w:keepNext w:val="0"/>
        <w:keepLines w:val="0"/>
        <w:pageBreakBefore w:val="0"/>
        <w:widowControl w:val="0"/>
        <w:kinsoku/>
        <w:wordWrap/>
        <w:overflowPunct/>
        <w:topLinePunct w:val="0"/>
        <w:autoSpaceDE w:val="0"/>
        <w:autoSpaceDN w:val="0"/>
        <w:bidi w:val="0"/>
        <w:adjustRightInd/>
        <w:snapToGrid/>
        <w:spacing w:line="500" w:lineRule="exact"/>
        <w:ind w:firstLine="600" w:firstLineChars="300"/>
        <w:textAlignment w:val="auto"/>
        <w:rPr>
          <w:rFonts w:hint="default" w:eastAsia="宋体"/>
          <w:sz w:val="20"/>
          <w:lang w:val="en-US" w:eastAsia="zh-CN"/>
        </w:rPr>
      </w:pPr>
    </w:p>
    <w:p>
      <w:pPr>
        <w:keepNext w:val="0"/>
        <w:keepLines w:val="0"/>
        <w:pageBreakBefore w:val="0"/>
        <w:widowControl w:val="0"/>
        <w:kinsoku/>
        <w:wordWrap/>
        <w:overflowPunct/>
        <w:topLinePunct w:val="0"/>
        <w:autoSpaceDE w:val="0"/>
        <w:autoSpaceDN w:val="0"/>
        <w:bidi w:val="0"/>
        <w:adjustRightInd/>
        <w:snapToGrid/>
        <w:spacing w:before="0" w:after="0" w:line="500" w:lineRule="exact"/>
        <w:ind w:right="0" w:firstLine="200" w:firstLineChars="100"/>
        <w:jc w:val="left"/>
        <w:textAlignment w:val="auto"/>
        <w:rPr>
          <w:rFonts w:hint="default" w:ascii="宋体" w:hAnsi="宋体" w:eastAsia="宋体" w:cs="宋体"/>
          <w:sz w:val="20"/>
          <w:szCs w:val="21"/>
          <w:lang w:val="en-US" w:eastAsia="zh-CN" w:bidi="ar-SA"/>
        </w:rPr>
      </w:pPr>
    </w:p>
    <w:p>
      <w:pPr>
        <w:widowControl w:val="0"/>
        <w:autoSpaceDE w:val="0"/>
        <w:autoSpaceDN w:val="0"/>
        <w:spacing w:before="0" w:after="0" w:line="240" w:lineRule="auto"/>
        <w:ind w:left="0" w:right="0"/>
        <w:jc w:val="left"/>
        <w:rPr>
          <w:rFonts w:ascii="宋体" w:hAnsi="宋体" w:eastAsia="宋体" w:cs="宋体"/>
          <w:sz w:val="20"/>
          <w:szCs w:val="21"/>
          <w:lang w:val="en-US" w:eastAsia="en-US" w:bidi="ar-SA"/>
        </w:rPr>
      </w:pPr>
    </w:p>
    <w:p>
      <w:pPr>
        <w:pStyle w:val="3"/>
        <w:rPr>
          <w:sz w:val="20"/>
        </w:rPr>
      </w:pPr>
    </w:p>
    <w:p>
      <w:pPr>
        <w:pStyle w:val="3"/>
        <w:rPr>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spacing w:after="0"/>
        <w:rPr>
          <w:rFonts w:ascii="Times New Roman"/>
          <w:sz w:val="26"/>
        </w:rPr>
        <w:sectPr>
          <w:headerReference r:id="rId8" w:type="even"/>
          <w:pgSz w:w="11910" w:h="16840"/>
          <w:pgMar w:top="1660" w:right="0" w:bottom="280" w:left="1020" w:header="1442" w:footer="0" w:gutter="0"/>
          <w:cols w:space="720" w:num="1"/>
        </w:sectPr>
      </w:pPr>
    </w:p>
    <w:p>
      <w:pPr>
        <w:pStyle w:val="3"/>
        <w:rPr>
          <w:rFonts w:ascii="Times New Roman"/>
          <w:sz w:val="20"/>
        </w:rPr>
      </w:pPr>
    </w:p>
    <w:p>
      <w:pPr>
        <w:pStyle w:val="3"/>
        <w:rPr>
          <w:rFonts w:ascii="Times New Roman"/>
          <w:sz w:val="20"/>
        </w:rPr>
      </w:pPr>
    </w:p>
    <w:p>
      <w:pPr>
        <w:pStyle w:val="3"/>
        <w:rPr>
          <w:rFonts w:ascii="Times New Roman"/>
          <w:sz w:val="20"/>
        </w:rPr>
      </w:pPr>
    </w:p>
    <w:p>
      <w:pPr>
        <w:pStyle w:val="2"/>
        <w:spacing w:before="233"/>
      </w:pPr>
      <w:r>
        <w:rPr>
          <w:spacing w:val="-4"/>
        </w:rPr>
        <w:t>展览场馆运营规范</w:t>
      </w:r>
    </w:p>
    <w:p>
      <w:pPr>
        <w:pStyle w:val="3"/>
        <w:rPr>
          <w:rFonts w:ascii="黑体"/>
          <w:sz w:val="20"/>
        </w:rPr>
      </w:pPr>
    </w:p>
    <w:p>
      <w:pPr>
        <w:pStyle w:val="3"/>
        <w:rPr>
          <w:rFonts w:ascii="黑体"/>
          <w:sz w:val="20"/>
        </w:rPr>
      </w:pPr>
    </w:p>
    <w:p>
      <w:pPr>
        <w:pStyle w:val="10"/>
        <w:numPr>
          <w:ilvl w:val="0"/>
          <w:numId w:val="1"/>
        </w:numPr>
        <w:tabs>
          <w:tab w:val="left" w:pos="714"/>
        </w:tabs>
        <w:spacing w:before="71" w:after="0" w:line="240" w:lineRule="auto"/>
        <w:ind w:left="713" w:right="0" w:hanging="317"/>
        <w:jc w:val="left"/>
        <w:rPr>
          <w:rFonts w:ascii="黑体" w:eastAsia="黑体"/>
          <w:b/>
          <w:bCs/>
          <w:sz w:val="21"/>
        </w:rPr>
      </w:pPr>
      <w:r>
        <w:rPr>
          <w:rFonts w:ascii="黑体" w:eastAsia="黑体"/>
          <w:b/>
          <w:bCs/>
          <w:spacing w:val="-6"/>
          <w:sz w:val="21"/>
        </w:rPr>
        <w:t>范围</w:t>
      </w:r>
    </w:p>
    <w:p>
      <w:pPr>
        <w:pStyle w:val="3"/>
        <w:spacing w:before="9"/>
        <w:rPr>
          <w:rFonts w:ascii="黑体"/>
          <w:sz w:val="27"/>
        </w:rPr>
      </w:pPr>
    </w:p>
    <w:p>
      <w:pPr>
        <w:pStyle w:val="3"/>
        <w:spacing w:line="278" w:lineRule="auto"/>
        <w:ind w:left="397" w:right="1128" w:firstLine="420"/>
      </w:pPr>
      <w:r>
        <w:rPr>
          <w:spacing w:val="-4"/>
        </w:rPr>
        <w:t>本文件规定了展览场馆运营的管理保障、服务项目、服务内容与要求、服务质量控制与评价改进等</w:t>
      </w:r>
      <w:r>
        <w:rPr>
          <w:spacing w:val="-2"/>
        </w:rPr>
        <w:t>方面的内容。</w:t>
      </w:r>
    </w:p>
    <w:p>
      <w:pPr>
        <w:pStyle w:val="3"/>
        <w:spacing w:line="269" w:lineRule="exact"/>
        <w:ind w:left="817"/>
      </w:pPr>
      <w:r>
        <w:rPr>
          <w:spacing w:val="-1"/>
        </w:rPr>
        <w:t>本文件适用于展览场馆运营方对展览场馆运营服务的管理。</w:t>
      </w:r>
    </w:p>
    <w:p>
      <w:pPr>
        <w:pStyle w:val="3"/>
        <w:spacing w:before="9"/>
        <w:rPr>
          <w:sz w:val="27"/>
        </w:rPr>
      </w:pPr>
    </w:p>
    <w:p>
      <w:pPr>
        <w:pStyle w:val="10"/>
        <w:numPr>
          <w:ilvl w:val="0"/>
          <w:numId w:val="1"/>
        </w:numPr>
        <w:tabs>
          <w:tab w:val="left" w:pos="714"/>
        </w:tabs>
        <w:spacing w:before="0" w:after="0" w:line="240" w:lineRule="auto"/>
        <w:ind w:left="713" w:right="0" w:hanging="317"/>
        <w:jc w:val="left"/>
        <w:rPr>
          <w:rFonts w:ascii="黑体" w:eastAsia="黑体"/>
          <w:b/>
          <w:bCs/>
          <w:sz w:val="21"/>
        </w:rPr>
      </w:pPr>
      <w:r>
        <w:rPr>
          <w:rFonts w:ascii="黑体" w:eastAsia="黑体"/>
          <w:b/>
          <w:bCs/>
          <w:spacing w:val="-4"/>
          <w:sz w:val="21"/>
        </w:rPr>
        <w:t>规范性引用文件</w:t>
      </w:r>
    </w:p>
    <w:p>
      <w:pPr>
        <w:pStyle w:val="3"/>
        <w:spacing w:before="9"/>
        <w:rPr>
          <w:rFonts w:ascii="黑体"/>
          <w:sz w:val="27"/>
        </w:rPr>
      </w:pPr>
    </w:p>
    <w:p>
      <w:pPr>
        <w:pStyle w:val="3"/>
        <w:spacing w:line="278" w:lineRule="auto"/>
        <w:ind w:left="397" w:right="1025" w:firstLine="420"/>
      </w:pPr>
      <w:r>
        <w:rPr>
          <w:spacing w:val="-9"/>
        </w:rPr>
        <w:t>下列文件中的内容通过文中的规范性引用而构成本文件必不可少的条款。其中，注日期的引用文件，</w:t>
      </w:r>
      <w:r>
        <w:rPr>
          <w:spacing w:val="-2"/>
        </w:rPr>
        <w:t>仅该日期对应的版本适用于本文件；不注日期的引用文件，其最新版本（包括所有的修改单）适用于本</w:t>
      </w:r>
      <w:r>
        <w:rPr>
          <w:spacing w:val="-4"/>
        </w:rPr>
        <w:t>文件。</w:t>
      </w:r>
    </w:p>
    <w:p>
      <w:pPr>
        <w:pStyle w:val="3"/>
        <w:tabs>
          <w:tab w:val="left" w:pos="1792"/>
        </w:tabs>
        <w:spacing w:line="269" w:lineRule="exact"/>
        <w:ind w:left="817"/>
      </w:pPr>
      <w:r>
        <w:rPr>
          <w:rFonts w:ascii="Times New Roman" w:eastAsia="Times New Roman"/>
        </w:rPr>
        <w:t>GB</w:t>
      </w:r>
      <w:r>
        <w:rPr>
          <w:rFonts w:ascii="Times New Roman" w:eastAsia="Times New Roman"/>
          <w:spacing w:val="-2"/>
        </w:rPr>
        <w:t xml:space="preserve"> </w:t>
      </w:r>
      <w:r>
        <w:rPr>
          <w:rFonts w:ascii="Times New Roman" w:eastAsia="Times New Roman"/>
          <w:spacing w:val="-4"/>
        </w:rPr>
        <w:t>2894</w:t>
      </w:r>
      <w:r>
        <w:rPr>
          <w:rFonts w:ascii="Times New Roman" w:eastAsia="Times New Roman"/>
        </w:rPr>
        <w:tab/>
      </w:r>
      <w:r>
        <w:rPr>
          <w:spacing w:val="-3"/>
        </w:rPr>
        <w:t>安全标志及其使用导则</w:t>
      </w:r>
    </w:p>
    <w:p>
      <w:pPr>
        <w:pStyle w:val="3"/>
        <w:tabs>
          <w:tab w:val="left" w:pos="2054"/>
        </w:tabs>
        <w:spacing w:before="43"/>
        <w:ind w:left="817"/>
      </w:pPr>
      <w:r>
        <w:rPr>
          <w:rFonts w:ascii="Times New Roman" w:eastAsia="Times New Roman"/>
        </w:rPr>
        <w:t>GB</w:t>
      </w:r>
      <w:r>
        <w:rPr>
          <w:rFonts w:ascii="Times New Roman" w:eastAsia="Times New Roman"/>
          <w:spacing w:val="-4"/>
        </w:rPr>
        <w:t xml:space="preserve"> </w:t>
      </w:r>
      <w:r>
        <w:rPr>
          <w:rFonts w:ascii="Times New Roman" w:eastAsia="Times New Roman"/>
          <w:spacing w:val="-2"/>
        </w:rPr>
        <w:t>13495.1</w:t>
      </w:r>
      <w:r>
        <w:rPr>
          <w:rFonts w:ascii="Times New Roman" w:eastAsia="Times New Roman"/>
        </w:rPr>
        <w:tab/>
      </w:r>
      <w:r>
        <w:rPr>
          <w:spacing w:val="-1"/>
        </w:rPr>
        <w:t>消防安全标志 第</w:t>
      </w:r>
      <w:r>
        <w:rPr>
          <w:rFonts w:ascii="Times New Roman" w:eastAsia="Times New Roman"/>
        </w:rPr>
        <w:t>1</w:t>
      </w:r>
      <w:r>
        <w:rPr>
          <w:spacing w:val="-2"/>
        </w:rPr>
        <w:t>部分：标志</w:t>
      </w:r>
    </w:p>
    <w:p>
      <w:pPr>
        <w:pStyle w:val="3"/>
        <w:tabs>
          <w:tab w:val="left" w:pos="1895"/>
        </w:tabs>
        <w:spacing w:before="43"/>
        <w:ind w:left="817"/>
      </w:pPr>
      <w:r>
        <w:rPr>
          <w:rFonts w:ascii="Times New Roman" w:eastAsia="Times New Roman"/>
        </w:rPr>
        <w:t>GB</w:t>
      </w:r>
      <w:r>
        <w:rPr>
          <w:rFonts w:ascii="Times New Roman" w:eastAsia="Times New Roman"/>
          <w:spacing w:val="-4"/>
        </w:rPr>
        <w:t xml:space="preserve"> </w:t>
      </w:r>
      <w:r>
        <w:rPr>
          <w:rFonts w:ascii="Times New Roman" w:eastAsia="Times New Roman"/>
          <w:spacing w:val="-2"/>
        </w:rPr>
        <w:t>15630</w:t>
      </w:r>
      <w:r>
        <w:rPr>
          <w:rFonts w:ascii="Times New Roman" w:eastAsia="Times New Roman"/>
        </w:rPr>
        <w:tab/>
      </w:r>
      <w:r>
        <w:rPr>
          <w:spacing w:val="-1"/>
        </w:rPr>
        <w:t>消防安全标志设置要求</w:t>
      </w:r>
    </w:p>
    <w:p>
      <w:pPr>
        <w:pStyle w:val="3"/>
        <w:tabs>
          <w:tab w:val="left" w:pos="2241"/>
        </w:tabs>
        <w:spacing w:before="43"/>
        <w:ind w:left="817"/>
      </w:pPr>
      <w:r>
        <w:rPr>
          <w:rFonts w:ascii="Times New Roman" w:eastAsia="Times New Roman"/>
        </w:rPr>
        <w:t xml:space="preserve">GB/T </w:t>
      </w:r>
      <w:r>
        <w:rPr>
          <w:rFonts w:ascii="Times New Roman" w:eastAsia="Times New Roman"/>
          <w:spacing w:val="-2"/>
        </w:rPr>
        <w:t>10001.1</w:t>
      </w:r>
      <w:r>
        <w:rPr>
          <w:rFonts w:ascii="Times New Roman" w:eastAsia="Times New Roman"/>
        </w:rPr>
        <w:tab/>
      </w:r>
      <w:r>
        <w:rPr>
          <w:spacing w:val="-1"/>
        </w:rPr>
        <w:t>公共信息图形符号 第</w:t>
      </w:r>
      <w:r>
        <w:rPr>
          <w:rFonts w:ascii="Times New Roman" w:eastAsia="Times New Roman"/>
        </w:rPr>
        <w:t>1</w:t>
      </w:r>
      <w:r>
        <w:rPr>
          <w:spacing w:val="-2"/>
        </w:rPr>
        <w:t>部分：通用符号</w:t>
      </w:r>
    </w:p>
    <w:p>
      <w:pPr>
        <w:pStyle w:val="3"/>
        <w:tabs>
          <w:tab w:val="left" w:pos="2241"/>
        </w:tabs>
        <w:spacing w:before="43"/>
        <w:ind w:left="817"/>
      </w:pPr>
      <w:r>
        <w:rPr>
          <w:rFonts w:ascii="Times New Roman" w:eastAsia="Times New Roman"/>
        </w:rPr>
        <w:t xml:space="preserve">GB/T </w:t>
      </w:r>
      <w:r>
        <w:rPr>
          <w:rFonts w:ascii="Times New Roman" w:eastAsia="Times New Roman"/>
          <w:spacing w:val="-2"/>
        </w:rPr>
        <w:t>15566.1</w:t>
      </w:r>
      <w:r>
        <w:rPr>
          <w:rFonts w:ascii="Times New Roman" w:eastAsia="Times New Roman"/>
        </w:rPr>
        <w:tab/>
      </w:r>
      <w:r>
        <w:rPr>
          <w:spacing w:val="-2"/>
        </w:rPr>
        <w:t>公共信息导向系统 设置原则与要求 第</w:t>
      </w:r>
      <w:r>
        <w:rPr>
          <w:rFonts w:ascii="Times New Roman" w:eastAsia="Times New Roman"/>
        </w:rPr>
        <w:t>1</w:t>
      </w:r>
      <w:r>
        <w:rPr>
          <w:spacing w:val="-2"/>
        </w:rPr>
        <w:t>部分：总则</w:t>
      </w:r>
    </w:p>
    <w:p>
      <w:pPr>
        <w:pStyle w:val="3"/>
        <w:tabs>
          <w:tab w:val="left" w:pos="2241"/>
        </w:tabs>
        <w:spacing w:before="42"/>
        <w:ind w:left="817"/>
      </w:pPr>
      <w:r>
        <w:rPr>
          <w:rFonts w:ascii="Times New Roman" w:eastAsia="Times New Roman"/>
        </w:rPr>
        <w:t xml:space="preserve">GB/T </w:t>
      </w:r>
      <w:r>
        <w:rPr>
          <w:rFonts w:ascii="Times New Roman" w:eastAsia="Times New Roman"/>
          <w:spacing w:val="-2"/>
        </w:rPr>
        <w:t>20501.1</w:t>
      </w:r>
      <w:r>
        <w:rPr>
          <w:rFonts w:ascii="Times New Roman" w:eastAsia="Times New Roman"/>
        </w:rPr>
        <w:tab/>
      </w:r>
      <w:r>
        <w:rPr>
          <w:spacing w:val="-2"/>
        </w:rPr>
        <w:t>公共信息导向系统 导向要素的设计原则与要求 第</w:t>
      </w:r>
      <w:r>
        <w:rPr>
          <w:rFonts w:ascii="Times New Roman" w:eastAsia="Times New Roman"/>
        </w:rPr>
        <w:t>1</w:t>
      </w:r>
      <w:r>
        <w:rPr>
          <w:spacing w:val="-2"/>
        </w:rPr>
        <w:t>部分：总则</w:t>
      </w:r>
    </w:p>
    <w:p>
      <w:pPr>
        <w:pStyle w:val="3"/>
        <w:tabs>
          <w:tab w:val="left" w:pos="2714"/>
        </w:tabs>
        <w:spacing w:before="43"/>
        <w:ind w:left="817"/>
      </w:pPr>
      <w:r>
        <w:rPr>
          <w:rFonts w:ascii="Times New Roman" w:hAnsi="Times New Roman" w:eastAsia="Times New Roman"/>
        </w:rPr>
        <w:t>GB/T</w:t>
      </w:r>
      <w:r>
        <w:rPr>
          <w:rFonts w:ascii="Times New Roman" w:hAnsi="Times New Roman" w:eastAsia="Times New Roman"/>
          <w:spacing w:val="-3"/>
        </w:rPr>
        <w:t xml:space="preserve"> </w:t>
      </w:r>
      <w:r>
        <w:rPr>
          <w:rFonts w:ascii="Times New Roman" w:hAnsi="Times New Roman" w:eastAsia="Times New Roman"/>
        </w:rPr>
        <w:t>26165</w:t>
      </w:r>
      <w:r>
        <w:t>—</w:t>
      </w:r>
      <w:r>
        <w:rPr>
          <w:rFonts w:ascii="Times New Roman" w:hAnsi="Times New Roman" w:eastAsia="Times New Roman"/>
          <w:spacing w:val="-4"/>
        </w:rPr>
        <w:t>2010</w:t>
      </w:r>
      <w:r>
        <w:rPr>
          <w:rFonts w:ascii="Times New Roman" w:hAnsi="Times New Roman" w:eastAsia="Times New Roman"/>
        </w:rPr>
        <w:tab/>
      </w:r>
      <w:r>
        <w:rPr>
          <w:spacing w:val="-2"/>
        </w:rPr>
        <w:t>经济贸易展览会 术语</w:t>
      </w:r>
    </w:p>
    <w:p>
      <w:pPr>
        <w:pStyle w:val="3"/>
        <w:tabs>
          <w:tab w:val="left" w:pos="2714"/>
        </w:tabs>
        <w:spacing w:before="43"/>
        <w:ind w:left="817"/>
      </w:pPr>
      <w:r>
        <w:rPr>
          <w:rFonts w:ascii="Times New Roman" w:hAnsi="Times New Roman" w:eastAsia="Times New Roman"/>
        </w:rPr>
        <w:t>GB/T</w:t>
      </w:r>
      <w:r>
        <w:rPr>
          <w:rFonts w:ascii="Times New Roman" w:hAnsi="Times New Roman" w:eastAsia="Times New Roman"/>
          <w:spacing w:val="-4"/>
        </w:rPr>
        <w:t xml:space="preserve"> </w:t>
      </w:r>
      <w:r>
        <w:rPr>
          <w:rFonts w:ascii="Times New Roman" w:hAnsi="Times New Roman" w:eastAsia="Times New Roman"/>
        </w:rPr>
        <w:t>34395—</w:t>
      </w:r>
      <w:r>
        <w:rPr>
          <w:rFonts w:ascii="Times New Roman" w:hAnsi="Times New Roman" w:eastAsia="Times New Roman"/>
          <w:spacing w:val="-4"/>
        </w:rPr>
        <w:t>2017</w:t>
      </w:r>
      <w:r>
        <w:rPr>
          <w:rFonts w:ascii="Times New Roman" w:hAnsi="Times New Roman" w:eastAsia="Times New Roman"/>
        </w:rPr>
        <w:tab/>
      </w:r>
      <w:r>
        <w:rPr>
          <w:spacing w:val="-3"/>
        </w:rPr>
        <w:t>展览场馆功能性设计指南</w:t>
      </w:r>
    </w:p>
    <w:p>
      <w:pPr>
        <w:pStyle w:val="3"/>
        <w:tabs>
          <w:tab w:val="left" w:pos="2714"/>
        </w:tabs>
        <w:spacing w:before="43"/>
        <w:ind w:left="817"/>
      </w:pPr>
      <w:r>
        <w:rPr>
          <w:rFonts w:ascii="Times New Roman" w:hAnsi="Times New Roman" w:eastAsia="Times New Roman"/>
        </w:rPr>
        <w:t>GB/T</w:t>
      </w:r>
      <w:r>
        <w:rPr>
          <w:rFonts w:ascii="Times New Roman" w:hAnsi="Times New Roman" w:eastAsia="Times New Roman"/>
          <w:spacing w:val="-4"/>
        </w:rPr>
        <w:t xml:space="preserve"> </w:t>
      </w:r>
      <w:r>
        <w:rPr>
          <w:rFonts w:ascii="Times New Roman" w:hAnsi="Times New Roman" w:eastAsia="Times New Roman"/>
        </w:rPr>
        <w:t>36681—</w:t>
      </w:r>
      <w:r>
        <w:rPr>
          <w:rFonts w:ascii="Times New Roman" w:hAnsi="Times New Roman" w:eastAsia="Times New Roman"/>
          <w:spacing w:val="-4"/>
        </w:rPr>
        <w:t>2018</w:t>
      </w:r>
      <w:r>
        <w:rPr>
          <w:rFonts w:ascii="Times New Roman" w:hAnsi="Times New Roman" w:eastAsia="Times New Roman"/>
        </w:rPr>
        <w:tab/>
      </w:r>
      <w:r>
        <w:rPr>
          <w:spacing w:val="-3"/>
        </w:rPr>
        <w:t>展览场馆服务管理规范</w:t>
      </w:r>
    </w:p>
    <w:p>
      <w:pPr>
        <w:pStyle w:val="3"/>
        <w:tabs>
          <w:tab w:val="left" w:pos="2679"/>
        </w:tabs>
        <w:spacing w:before="43"/>
        <w:ind w:left="817"/>
      </w:pPr>
      <w:r>
        <w:rPr>
          <w:rFonts w:ascii="Times New Roman" w:hAnsi="Times New Roman" w:eastAsia="Times New Roman"/>
        </w:rPr>
        <w:t>SB/T</w:t>
      </w:r>
      <w:r>
        <w:rPr>
          <w:rFonts w:ascii="Times New Roman" w:hAnsi="Times New Roman" w:eastAsia="Times New Roman"/>
          <w:spacing w:val="-3"/>
        </w:rPr>
        <w:t xml:space="preserve"> </w:t>
      </w:r>
      <w:r>
        <w:rPr>
          <w:rFonts w:ascii="Times New Roman" w:hAnsi="Times New Roman" w:eastAsia="Times New Roman"/>
        </w:rPr>
        <w:t>10852—</w:t>
      </w:r>
      <w:r>
        <w:rPr>
          <w:rFonts w:ascii="Times New Roman" w:hAnsi="Times New Roman" w:eastAsia="Times New Roman"/>
          <w:spacing w:val="-4"/>
        </w:rPr>
        <w:t>2012</w:t>
      </w:r>
      <w:r>
        <w:rPr>
          <w:rFonts w:ascii="Times New Roman" w:hAnsi="Times New Roman" w:eastAsia="Times New Roman"/>
        </w:rPr>
        <w:tab/>
      </w:r>
      <w:r>
        <w:rPr>
          <w:spacing w:val="-3"/>
        </w:rPr>
        <w:t>展览场馆运营服务规范</w:t>
      </w:r>
    </w:p>
    <w:p>
      <w:pPr>
        <w:pStyle w:val="3"/>
        <w:spacing w:before="9"/>
        <w:rPr>
          <w:sz w:val="27"/>
        </w:rPr>
      </w:pPr>
    </w:p>
    <w:p>
      <w:pPr>
        <w:pStyle w:val="10"/>
        <w:numPr>
          <w:ilvl w:val="0"/>
          <w:numId w:val="1"/>
        </w:numPr>
        <w:tabs>
          <w:tab w:val="left" w:pos="714"/>
        </w:tabs>
        <w:spacing w:before="0" w:after="0" w:line="240" w:lineRule="auto"/>
        <w:ind w:left="713" w:right="0" w:hanging="317"/>
        <w:jc w:val="left"/>
        <w:rPr>
          <w:rFonts w:ascii="黑体" w:eastAsia="黑体"/>
          <w:b/>
          <w:bCs/>
          <w:sz w:val="21"/>
        </w:rPr>
      </w:pPr>
      <w:r>
        <w:rPr>
          <w:rFonts w:ascii="黑体" w:eastAsia="黑体"/>
          <w:b/>
          <w:bCs/>
          <w:spacing w:val="-4"/>
          <w:sz w:val="21"/>
        </w:rPr>
        <w:t>术语和定义</w:t>
      </w:r>
    </w:p>
    <w:p>
      <w:pPr>
        <w:pStyle w:val="3"/>
        <w:spacing w:before="9"/>
        <w:rPr>
          <w:rFonts w:ascii="黑体"/>
          <w:sz w:val="27"/>
        </w:rPr>
      </w:pPr>
    </w:p>
    <w:p>
      <w:pPr>
        <w:pStyle w:val="3"/>
        <w:ind w:left="817"/>
      </w:pPr>
      <w:r>
        <w:rPr>
          <w:rFonts w:ascii="Times New Roman" w:hAnsi="Times New Roman" w:eastAsia="Times New Roman"/>
        </w:rPr>
        <w:t>GB/T</w:t>
      </w:r>
      <w:r>
        <w:rPr>
          <w:rFonts w:ascii="Times New Roman" w:hAnsi="Times New Roman" w:eastAsia="Times New Roman"/>
          <w:spacing w:val="-7"/>
        </w:rPr>
        <w:t xml:space="preserve"> </w:t>
      </w:r>
      <w:r>
        <w:rPr>
          <w:rFonts w:ascii="Times New Roman" w:hAnsi="Times New Roman" w:eastAsia="Times New Roman"/>
        </w:rPr>
        <w:t>26165</w:t>
      </w:r>
      <w:r>
        <w:t>—</w:t>
      </w:r>
      <w:r>
        <w:rPr>
          <w:rFonts w:ascii="Times New Roman" w:hAnsi="Times New Roman" w:eastAsia="Times New Roman"/>
        </w:rPr>
        <w:t>2010</w:t>
      </w:r>
      <w:r>
        <w:t>、</w:t>
      </w:r>
      <w:r>
        <w:rPr>
          <w:rFonts w:ascii="Times New Roman" w:hAnsi="Times New Roman" w:eastAsia="Times New Roman"/>
        </w:rPr>
        <w:t>GB/T</w:t>
      </w:r>
      <w:r>
        <w:rPr>
          <w:rFonts w:ascii="Times New Roman" w:hAnsi="Times New Roman" w:eastAsia="Times New Roman"/>
          <w:spacing w:val="-7"/>
        </w:rPr>
        <w:t xml:space="preserve"> </w:t>
      </w:r>
      <w:r>
        <w:rPr>
          <w:rFonts w:ascii="Times New Roman" w:hAnsi="Times New Roman" w:eastAsia="Times New Roman"/>
        </w:rPr>
        <w:t>36681—2018</w:t>
      </w:r>
      <w:r>
        <w:rPr>
          <w:spacing w:val="-1"/>
        </w:rPr>
        <w:t>界定的以及下列术语和定义适用于本文件。</w:t>
      </w:r>
    </w:p>
    <w:p>
      <w:pPr>
        <w:pStyle w:val="3"/>
        <w:spacing w:before="7"/>
        <w:rPr>
          <w:sz w:val="15"/>
        </w:rPr>
      </w:pPr>
    </w:p>
    <w:p>
      <w:pPr>
        <w:pStyle w:val="3"/>
        <w:ind w:left="397"/>
        <w:rPr>
          <w:rFonts w:ascii="黑体"/>
        </w:rPr>
      </w:pPr>
      <w:r>
        <w:rPr>
          <w:rFonts w:ascii="黑体"/>
          <w:spacing w:val="-5"/>
        </w:rPr>
        <w:t>3.1</w:t>
      </w:r>
    </w:p>
    <w:p>
      <w:pPr>
        <w:pStyle w:val="3"/>
        <w:spacing w:before="7"/>
        <w:rPr>
          <w:rFonts w:ascii="黑体"/>
          <w:sz w:val="15"/>
        </w:rPr>
      </w:pPr>
    </w:p>
    <w:p>
      <w:pPr>
        <w:pStyle w:val="3"/>
        <w:ind w:left="817"/>
        <w:rPr>
          <w:rFonts w:ascii="黑体" w:eastAsia="黑体"/>
        </w:rPr>
      </w:pPr>
      <w:r>
        <w:rPr>
          <w:rFonts w:ascii="黑体" w:eastAsia="黑体"/>
        </w:rPr>
        <w:t>展览场馆</w:t>
      </w:r>
      <w:r>
        <w:rPr>
          <w:rFonts w:ascii="黑体" w:eastAsia="黑体"/>
          <w:spacing w:val="44"/>
          <w:w w:val="150"/>
        </w:rPr>
        <w:t xml:space="preserve"> </w:t>
      </w:r>
      <w:r>
        <w:rPr>
          <w:rFonts w:ascii="黑体" w:eastAsia="黑体"/>
        </w:rPr>
        <w:t>exhibition</w:t>
      </w:r>
      <w:r>
        <w:rPr>
          <w:rFonts w:ascii="黑体" w:eastAsia="黑体"/>
          <w:spacing w:val="-4"/>
        </w:rPr>
        <w:t xml:space="preserve"> </w:t>
      </w:r>
      <w:r>
        <w:rPr>
          <w:rFonts w:ascii="黑体" w:eastAsia="黑体"/>
          <w:spacing w:val="-2"/>
        </w:rPr>
        <w:t>building</w:t>
      </w:r>
    </w:p>
    <w:p>
      <w:pPr>
        <w:pStyle w:val="3"/>
        <w:spacing w:before="43"/>
        <w:ind w:left="817"/>
      </w:pPr>
      <w:r>
        <w:rPr>
          <w:spacing w:val="-1"/>
        </w:rPr>
        <w:t>以举办展览活动为主要功能的固定建筑物。</w:t>
      </w:r>
    </w:p>
    <w:p>
      <w:pPr>
        <w:pStyle w:val="3"/>
        <w:spacing w:before="43"/>
        <w:ind w:left="817"/>
        <w:rPr>
          <w:rFonts w:ascii="Times New Roman" w:hAnsi="Times New Roman" w:eastAsia="Times New Roman"/>
        </w:rPr>
      </w:pPr>
      <w:r>
        <w:rPr>
          <w:rFonts w:ascii="Times New Roman" w:hAnsi="Times New Roman" w:eastAsia="Times New Roman"/>
        </w:rPr>
        <w:t>[</w:t>
      </w:r>
      <w:r>
        <w:t>来源：</w:t>
      </w:r>
      <w:r>
        <w:rPr>
          <w:rFonts w:ascii="Times New Roman" w:hAnsi="Times New Roman" w:eastAsia="Times New Roman"/>
        </w:rPr>
        <w:t>GB/T</w:t>
      </w:r>
      <w:r>
        <w:rPr>
          <w:rFonts w:ascii="Times New Roman" w:hAnsi="Times New Roman" w:eastAsia="Times New Roman"/>
          <w:spacing w:val="-13"/>
        </w:rPr>
        <w:t xml:space="preserve"> </w:t>
      </w:r>
      <w:r>
        <w:rPr>
          <w:rFonts w:ascii="Times New Roman" w:hAnsi="Times New Roman" w:eastAsia="Times New Roman"/>
        </w:rPr>
        <w:t>26165—2010</w:t>
      </w:r>
      <w:r>
        <w:t>，</w:t>
      </w:r>
      <w:r>
        <w:rPr>
          <w:rFonts w:ascii="Times New Roman" w:hAnsi="Times New Roman" w:eastAsia="Times New Roman"/>
        </w:rPr>
        <w:t>2.2.1</w:t>
      </w:r>
      <w:r>
        <w:t>，有修改</w:t>
      </w:r>
      <w:r>
        <w:rPr>
          <w:rFonts w:ascii="Times New Roman" w:hAnsi="Times New Roman" w:eastAsia="Times New Roman"/>
          <w:spacing w:val="-10"/>
        </w:rPr>
        <w:t>]</w:t>
      </w:r>
    </w:p>
    <w:p>
      <w:pPr>
        <w:pStyle w:val="3"/>
        <w:spacing w:before="3"/>
        <w:rPr>
          <w:rFonts w:ascii="Times New Roman"/>
          <w:sz w:val="17"/>
        </w:rPr>
      </w:pPr>
    </w:p>
    <w:p>
      <w:pPr>
        <w:pStyle w:val="3"/>
        <w:ind w:left="397"/>
        <w:rPr>
          <w:rFonts w:ascii="黑体"/>
        </w:rPr>
      </w:pPr>
      <w:r>
        <w:rPr>
          <w:rFonts w:ascii="黑体"/>
          <w:spacing w:val="-5"/>
        </w:rPr>
        <w:t>3.2</w:t>
      </w:r>
    </w:p>
    <w:p>
      <w:pPr>
        <w:pStyle w:val="3"/>
        <w:spacing w:before="7"/>
        <w:rPr>
          <w:rFonts w:ascii="黑体"/>
          <w:sz w:val="15"/>
        </w:rPr>
      </w:pPr>
    </w:p>
    <w:p>
      <w:pPr>
        <w:pStyle w:val="3"/>
        <w:ind w:left="817"/>
        <w:rPr>
          <w:rFonts w:ascii="黑体" w:eastAsia="黑体"/>
        </w:rPr>
      </w:pPr>
      <w:r>
        <w:rPr>
          <w:rFonts w:ascii="黑体" w:eastAsia="黑体"/>
        </w:rPr>
        <w:t>展览场馆运营方</w:t>
      </w:r>
      <w:r>
        <w:rPr>
          <w:rFonts w:ascii="黑体" w:eastAsia="黑体"/>
          <w:spacing w:val="42"/>
          <w:w w:val="150"/>
        </w:rPr>
        <w:t xml:space="preserve"> </w:t>
      </w:r>
      <w:r>
        <w:rPr>
          <w:rFonts w:ascii="黑体" w:eastAsia="黑体"/>
        </w:rPr>
        <w:t>exhibition</w:t>
      </w:r>
      <w:r>
        <w:rPr>
          <w:rFonts w:ascii="黑体" w:eastAsia="黑体"/>
          <w:spacing w:val="-5"/>
        </w:rPr>
        <w:t xml:space="preserve"> </w:t>
      </w:r>
      <w:r>
        <w:rPr>
          <w:rFonts w:ascii="黑体" w:eastAsia="黑体"/>
        </w:rPr>
        <w:t>venue</w:t>
      </w:r>
      <w:r>
        <w:rPr>
          <w:rFonts w:ascii="黑体" w:eastAsia="黑体"/>
          <w:spacing w:val="-5"/>
        </w:rPr>
        <w:t xml:space="preserve"> </w:t>
      </w:r>
      <w:r>
        <w:rPr>
          <w:rFonts w:ascii="黑体" w:eastAsia="黑体"/>
          <w:spacing w:val="-2"/>
        </w:rPr>
        <w:t>operator</w:t>
      </w:r>
    </w:p>
    <w:p>
      <w:pPr>
        <w:pStyle w:val="3"/>
        <w:spacing w:before="43"/>
        <w:ind w:left="817"/>
      </w:pPr>
      <w:r>
        <w:rPr>
          <w:spacing w:val="-1"/>
        </w:rPr>
        <w:t>自有展览场馆或受展览场馆产权方委托，对展览场馆进行经营管理和日常维护的单位。</w:t>
      </w:r>
    </w:p>
    <w:p>
      <w:pPr>
        <w:pStyle w:val="3"/>
        <w:spacing w:before="43"/>
        <w:ind w:left="817"/>
        <w:rPr>
          <w:rFonts w:ascii="Times New Roman" w:hAnsi="Times New Roman" w:eastAsia="Times New Roman"/>
        </w:rPr>
      </w:pPr>
      <w:r>
        <w:rPr>
          <w:rFonts w:ascii="Times New Roman" w:hAnsi="Times New Roman" w:eastAsia="Times New Roman"/>
        </w:rPr>
        <w:t>[</w:t>
      </w:r>
      <w:r>
        <w:t>来源：</w:t>
      </w:r>
      <w:r>
        <w:rPr>
          <w:rFonts w:ascii="Times New Roman" w:hAnsi="Times New Roman" w:eastAsia="Times New Roman"/>
        </w:rPr>
        <w:t>GB/T</w:t>
      </w:r>
      <w:r>
        <w:rPr>
          <w:rFonts w:ascii="Times New Roman" w:hAnsi="Times New Roman" w:eastAsia="Times New Roman"/>
          <w:spacing w:val="-7"/>
        </w:rPr>
        <w:t xml:space="preserve"> </w:t>
      </w:r>
      <w:r>
        <w:rPr>
          <w:rFonts w:ascii="Times New Roman" w:hAnsi="Times New Roman" w:eastAsia="Times New Roman"/>
        </w:rPr>
        <w:t>36681—</w:t>
      </w:r>
      <w:r>
        <w:rPr>
          <w:rFonts w:ascii="Times New Roman" w:hAnsi="Times New Roman" w:eastAsia="Times New Roman"/>
          <w:spacing w:val="-2"/>
        </w:rPr>
        <w:t>2018</w:t>
      </w:r>
      <w:r>
        <w:rPr>
          <w:spacing w:val="-2"/>
        </w:rPr>
        <w:t>，</w:t>
      </w:r>
      <w:r>
        <w:rPr>
          <w:rFonts w:ascii="Times New Roman" w:hAnsi="Times New Roman" w:eastAsia="Times New Roman"/>
          <w:spacing w:val="-2"/>
        </w:rPr>
        <w:t>3.1]</w:t>
      </w: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8"/>
        <w:rPr>
          <w:rFonts w:ascii="Times New Roman"/>
          <w:sz w:val="20"/>
        </w:rPr>
      </w:pPr>
    </w:p>
    <w:p>
      <w:pPr>
        <w:spacing w:before="75"/>
        <w:ind w:left="0" w:right="1329" w:firstLine="0"/>
        <w:jc w:val="right"/>
        <w:rPr>
          <w:sz w:val="18"/>
        </w:rPr>
      </w:pPr>
      <w:r>
        <w:rPr>
          <w:sz w:val="18"/>
        </w:rPr>
        <w:t>1</w:t>
      </w:r>
    </w:p>
    <w:p>
      <w:pPr>
        <w:spacing w:after="0"/>
        <w:jc w:val="right"/>
        <w:rPr>
          <w:sz w:val="18"/>
        </w:rPr>
        <w:sectPr>
          <w:headerReference r:id="rId9" w:type="default"/>
          <w:headerReference r:id="rId10" w:type="even"/>
          <w:pgSz w:w="11910" w:h="16840"/>
          <w:pgMar w:top="1660" w:right="0" w:bottom="280" w:left="1020" w:header="1442" w:footer="0" w:gutter="0"/>
          <w:cols w:space="720" w:num="1"/>
        </w:sectPr>
      </w:pPr>
    </w:p>
    <w:p>
      <w:pPr>
        <w:pStyle w:val="3"/>
        <w:spacing w:before="7"/>
        <w:rPr>
          <w:sz w:val="14"/>
        </w:rPr>
      </w:pPr>
    </w:p>
    <w:p>
      <w:pPr>
        <w:pStyle w:val="10"/>
        <w:numPr>
          <w:ilvl w:val="0"/>
          <w:numId w:val="1"/>
        </w:numPr>
        <w:tabs>
          <w:tab w:val="left" w:pos="431"/>
        </w:tabs>
        <w:spacing w:before="70" w:after="0" w:line="240" w:lineRule="auto"/>
        <w:ind w:left="430" w:right="0" w:hanging="317"/>
        <w:jc w:val="left"/>
        <w:rPr>
          <w:rFonts w:ascii="黑体" w:eastAsia="黑体"/>
          <w:b/>
          <w:bCs/>
          <w:sz w:val="21"/>
        </w:rPr>
      </w:pPr>
      <w:r>
        <w:rPr>
          <w:rFonts w:ascii="黑体" w:eastAsia="黑体"/>
          <w:b/>
          <w:bCs/>
          <w:spacing w:val="-4"/>
          <w:sz w:val="21"/>
        </w:rPr>
        <w:t>管理保障</w:t>
      </w:r>
    </w:p>
    <w:p>
      <w:pPr>
        <w:pStyle w:val="3"/>
        <w:spacing w:before="9"/>
        <w:rPr>
          <w:rFonts w:ascii="黑体"/>
          <w:sz w:val="27"/>
        </w:rPr>
      </w:pPr>
    </w:p>
    <w:p>
      <w:pPr>
        <w:pStyle w:val="10"/>
        <w:numPr>
          <w:ilvl w:val="1"/>
          <w:numId w:val="1"/>
        </w:numPr>
        <w:tabs>
          <w:tab w:val="left" w:pos="640"/>
        </w:tabs>
        <w:spacing w:before="0" w:after="0" w:line="240" w:lineRule="auto"/>
        <w:ind w:left="639" w:right="0" w:hanging="526"/>
        <w:jc w:val="left"/>
        <w:rPr>
          <w:rFonts w:ascii="黑体" w:eastAsia="黑体"/>
          <w:sz w:val="21"/>
        </w:rPr>
      </w:pPr>
      <w:r>
        <w:rPr>
          <w:rFonts w:ascii="黑体" w:eastAsia="黑体"/>
          <w:spacing w:val="-4"/>
          <w:sz w:val="21"/>
        </w:rPr>
        <w:t>组织机构</w:t>
      </w:r>
    </w:p>
    <w:p>
      <w:pPr>
        <w:pStyle w:val="3"/>
        <w:spacing w:before="7"/>
        <w:rPr>
          <w:rFonts w:ascii="黑体"/>
          <w:sz w:val="15"/>
        </w:rPr>
      </w:pPr>
    </w:p>
    <w:p>
      <w:pPr>
        <w:pStyle w:val="10"/>
        <w:numPr>
          <w:ilvl w:val="2"/>
          <w:numId w:val="1"/>
        </w:numPr>
        <w:tabs>
          <w:tab w:val="left" w:pos="850"/>
        </w:tabs>
        <w:spacing w:before="0" w:after="0" w:line="240" w:lineRule="auto"/>
        <w:ind w:left="849" w:right="0" w:hanging="736"/>
        <w:jc w:val="both"/>
        <w:rPr>
          <w:sz w:val="21"/>
        </w:rPr>
      </w:pPr>
      <w:r>
        <w:rPr>
          <w:spacing w:val="-1"/>
          <w:sz w:val="21"/>
        </w:rPr>
        <w:t>展览场馆管理运营方具有独立法人资格，具有承担展览场馆管理运营活动风险的能力。</w:t>
      </w:r>
    </w:p>
    <w:p>
      <w:pPr>
        <w:pStyle w:val="10"/>
        <w:numPr>
          <w:ilvl w:val="2"/>
          <w:numId w:val="1"/>
        </w:numPr>
        <w:tabs>
          <w:tab w:val="left" w:pos="850"/>
        </w:tabs>
        <w:spacing w:before="43" w:after="0" w:line="278" w:lineRule="auto"/>
        <w:ind w:left="114" w:right="1414" w:firstLine="0"/>
        <w:jc w:val="both"/>
        <w:rPr>
          <w:sz w:val="21"/>
        </w:rPr>
      </w:pPr>
      <w:r>
        <w:rPr>
          <w:spacing w:val="-2"/>
          <w:sz w:val="21"/>
        </w:rPr>
        <w:t>展览场馆运营方有完整的生产经营组织机构，内设部门合理、高效。宜设置场馆营销、现场服</w:t>
      </w:r>
      <w:r>
        <w:rPr>
          <w:spacing w:val="-4"/>
          <w:sz w:val="21"/>
        </w:rPr>
        <w:t>务、物业工程、安全保卫等业务职能部门，根据实际设置综合管理、财务计划、人力资源等行政管理部</w:t>
      </w:r>
      <w:r>
        <w:rPr>
          <w:spacing w:val="-2"/>
          <w:sz w:val="21"/>
        </w:rPr>
        <w:t>门。各部门职责清晰、明确。</w:t>
      </w:r>
    </w:p>
    <w:p>
      <w:pPr>
        <w:pStyle w:val="10"/>
        <w:numPr>
          <w:ilvl w:val="1"/>
          <w:numId w:val="1"/>
        </w:numPr>
        <w:tabs>
          <w:tab w:val="left" w:pos="640"/>
        </w:tabs>
        <w:spacing w:before="156" w:after="0" w:line="240" w:lineRule="auto"/>
        <w:ind w:left="639" w:right="0" w:hanging="526"/>
        <w:jc w:val="left"/>
        <w:rPr>
          <w:rFonts w:ascii="黑体" w:eastAsia="黑体"/>
          <w:sz w:val="21"/>
        </w:rPr>
      </w:pPr>
      <w:r>
        <w:rPr>
          <w:rFonts w:ascii="黑体" w:eastAsia="黑体"/>
          <w:spacing w:val="-4"/>
          <w:sz w:val="21"/>
        </w:rPr>
        <w:t>从业人员</w:t>
      </w:r>
    </w:p>
    <w:p>
      <w:pPr>
        <w:pStyle w:val="3"/>
        <w:spacing w:before="6"/>
        <w:rPr>
          <w:rFonts w:ascii="黑体"/>
          <w:sz w:val="15"/>
        </w:rPr>
      </w:pPr>
    </w:p>
    <w:p>
      <w:pPr>
        <w:pStyle w:val="10"/>
        <w:numPr>
          <w:ilvl w:val="2"/>
          <w:numId w:val="1"/>
        </w:numPr>
        <w:tabs>
          <w:tab w:val="left" w:pos="850"/>
        </w:tabs>
        <w:spacing w:before="0" w:after="0" w:line="278" w:lineRule="auto"/>
        <w:ind w:left="114" w:right="1422" w:firstLine="0"/>
        <w:jc w:val="left"/>
        <w:rPr>
          <w:sz w:val="21"/>
        </w:rPr>
      </w:pPr>
      <w:r>
        <w:rPr>
          <w:spacing w:val="-2"/>
          <w:sz w:val="21"/>
        </w:rPr>
        <w:t>根据生产经营实际情况合理配置相关岗位和工作人员，明确各岗位的任职资格、岗位职责及工作要求等内容，专业技术岗位和特种作业岗位从业人员均需持证上岗。</w:t>
      </w:r>
    </w:p>
    <w:p>
      <w:pPr>
        <w:pStyle w:val="10"/>
        <w:numPr>
          <w:ilvl w:val="2"/>
          <w:numId w:val="1"/>
        </w:numPr>
        <w:tabs>
          <w:tab w:val="left" w:pos="850"/>
        </w:tabs>
        <w:spacing w:before="0" w:after="0" w:line="278" w:lineRule="auto"/>
        <w:ind w:left="114" w:right="1422" w:firstLine="0"/>
        <w:jc w:val="left"/>
        <w:rPr>
          <w:sz w:val="21"/>
        </w:rPr>
      </w:pPr>
      <w:r>
        <w:rPr>
          <w:spacing w:val="-2"/>
          <w:sz w:val="21"/>
        </w:rPr>
        <w:t>从业人员应了解会展行业基本知识，掌握本岗位业务知识和操作技能，按照相应的服务规范和管理流程开展工作。</w:t>
      </w:r>
    </w:p>
    <w:p>
      <w:pPr>
        <w:pStyle w:val="10"/>
        <w:numPr>
          <w:ilvl w:val="2"/>
          <w:numId w:val="1"/>
        </w:numPr>
        <w:tabs>
          <w:tab w:val="left" w:pos="850"/>
        </w:tabs>
        <w:spacing w:before="0" w:after="0" w:line="269" w:lineRule="exact"/>
        <w:ind w:left="849" w:right="0" w:hanging="736"/>
        <w:jc w:val="left"/>
        <w:rPr>
          <w:sz w:val="21"/>
        </w:rPr>
      </w:pPr>
      <w:r>
        <w:rPr>
          <w:spacing w:val="-1"/>
          <w:sz w:val="21"/>
        </w:rPr>
        <w:t>建立岗前和在岗培训机制，定期开展岗位培训与考核。</w:t>
      </w:r>
    </w:p>
    <w:p>
      <w:pPr>
        <w:pStyle w:val="10"/>
        <w:numPr>
          <w:ilvl w:val="2"/>
          <w:numId w:val="1"/>
        </w:numPr>
        <w:tabs>
          <w:tab w:val="left" w:pos="850"/>
        </w:tabs>
        <w:spacing w:before="43" w:after="0" w:line="278" w:lineRule="auto"/>
        <w:ind w:left="114" w:right="1308" w:firstLine="0"/>
        <w:jc w:val="left"/>
        <w:rPr>
          <w:sz w:val="21"/>
        </w:rPr>
      </w:pPr>
      <w:r>
        <w:rPr>
          <w:spacing w:val="-4"/>
          <w:sz w:val="21"/>
        </w:rPr>
        <w:t>从业人员应规范着装，佩戴工牌，仪容仪表端庄、大方。沟通交流使用普通话，做到语言文明、</w:t>
      </w:r>
      <w:r>
        <w:rPr>
          <w:spacing w:val="-2"/>
          <w:sz w:val="21"/>
        </w:rPr>
        <w:t>表述清晰。</w:t>
      </w:r>
    </w:p>
    <w:p>
      <w:pPr>
        <w:pStyle w:val="10"/>
        <w:numPr>
          <w:ilvl w:val="1"/>
          <w:numId w:val="1"/>
        </w:numPr>
        <w:tabs>
          <w:tab w:val="left" w:pos="640"/>
        </w:tabs>
        <w:spacing w:before="156" w:after="0" w:line="240" w:lineRule="auto"/>
        <w:ind w:left="639" w:right="0" w:hanging="526"/>
        <w:jc w:val="left"/>
        <w:rPr>
          <w:rFonts w:ascii="黑体" w:eastAsia="黑体"/>
          <w:sz w:val="21"/>
        </w:rPr>
      </w:pPr>
      <w:r>
        <w:rPr>
          <w:rFonts w:ascii="黑体" w:eastAsia="黑体"/>
          <w:spacing w:val="-3"/>
          <w:sz w:val="21"/>
        </w:rPr>
        <w:t>功能设置及配套设施</w:t>
      </w:r>
    </w:p>
    <w:p>
      <w:pPr>
        <w:pStyle w:val="3"/>
        <w:spacing w:before="6"/>
        <w:rPr>
          <w:rFonts w:ascii="黑体"/>
          <w:sz w:val="15"/>
        </w:rPr>
      </w:pPr>
    </w:p>
    <w:p>
      <w:pPr>
        <w:pStyle w:val="10"/>
        <w:numPr>
          <w:ilvl w:val="2"/>
          <w:numId w:val="1"/>
        </w:numPr>
        <w:tabs>
          <w:tab w:val="left" w:pos="850"/>
        </w:tabs>
        <w:spacing w:before="1" w:after="0" w:line="240" w:lineRule="auto"/>
        <w:ind w:left="849" w:right="0" w:hanging="736"/>
        <w:jc w:val="left"/>
        <w:rPr>
          <w:sz w:val="21"/>
        </w:rPr>
      </w:pPr>
      <w:r>
        <w:rPr>
          <w:spacing w:val="-1"/>
          <w:sz w:val="21"/>
        </w:rPr>
        <w:t>展览场馆应满足各类展会活动举办所需的场地条件。</w:t>
      </w:r>
    </w:p>
    <w:p>
      <w:pPr>
        <w:pStyle w:val="10"/>
        <w:numPr>
          <w:ilvl w:val="2"/>
          <w:numId w:val="1"/>
        </w:numPr>
        <w:tabs>
          <w:tab w:val="left" w:pos="850"/>
        </w:tabs>
        <w:spacing w:before="43" w:after="0" w:line="240" w:lineRule="auto"/>
        <w:ind w:left="849" w:right="0" w:hanging="737"/>
        <w:jc w:val="left"/>
        <w:rPr>
          <w:sz w:val="21"/>
        </w:rPr>
      </w:pPr>
      <w:r>
        <w:rPr>
          <w:spacing w:val="-18"/>
          <w:sz w:val="21"/>
        </w:rPr>
        <w:t xml:space="preserve">根据 </w:t>
      </w:r>
      <w:r>
        <w:rPr>
          <w:rFonts w:ascii="Times New Roman" w:hAnsi="Times New Roman" w:eastAsia="Times New Roman"/>
          <w:sz w:val="21"/>
        </w:rPr>
        <w:t>GB/T</w:t>
      </w:r>
      <w:r>
        <w:rPr>
          <w:rFonts w:ascii="Times New Roman" w:hAnsi="Times New Roman" w:eastAsia="Times New Roman"/>
          <w:spacing w:val="-8"/>
          <w:sz w:val="21"/>
        </w:rPr>
        <w:t xml:space="preserve"> </w:t>
      </w:r>
      <w:r>
        <w:rPr>
          <w:rFonts w:ascii="Times New Roman" w:hAnsi="Times New Roman" w:eastAsia="Times New Roman"/>
          <w:sz w:val="21"/>
        </w:rPr>
        <w:t>34395—2017</w:t>
      </w:r>
      <w:r>
        <w:rPr>
          <w:rFonts w:ascii="Times New Roman" w:hAnsi="Times New Roman" w:eastAsia="Times New Roman"/>
          <w:spacing w:val="-2"/>
          <w:sz w:val="21"/>
        </w:rPr>
        <w:t xml:space="preserve"> </w:t>
      </w:r>
      <w:r>
        <w:rPr>
          <w:spacing w:val="-1"/>
          <w:sz w:val="21"/>
        </w:rPr>
        <w:t>的要求对展览场馆的人流、物流及车流系统进行统一规划和设计。</w:t>
      </w:r>
    </w:p>
    <w:p>
      <w:pPr>
        <w:pStyle w:val="10"/>
        <w:numPr>
          <w:ilvl w:val="2"/>
          <w:numId w:val="1"/>
        </w:numPr>
        <w:tabs>
          <w:tab w:val="left" w:pos="850"/>
        </w:tabs>
        <w:spacing w:before="43" w:after="0" w:line="240" w:lineRule="auto"/>
        <w:ind w:left="849" w:right="0" w:hanging="736"/>
        <w:jc w:val="left"/>
        <w:rPr>
          <w:sz w:val="21"/>
        </w:rPr>
      </w:pPr>
      <w:r>
        <w:rPr>
          <w:spacing w:val="-18"/>
          <w:sz w:val="21"/>
        </w:rPr>
        <w:t xml:space="preserve">根据 </w:t>
      </w:r>
      <w:r>
        <w:rPr>
          <w:rFonts w:ascii="Times New Roman" w:hAnsi="Times New Roman" w:eastAsia="Times New Roman"/>
          <w:sz w:val="21"/>
        </w:rPr>
        <w:t>SB/T</w:t>
      </w:r>
      <w:r>
        <w:rPr>
          <w:rFonts w:ascii="Times New Roman" w:hAnsi="Times New Roman" w:eastAsia="Times New Roman"/>
          <w:spacing w:val="-7"/>
          <w:sz w:val="21"/>
        </w:rPr>
        <w:t xml:space="preserve"> </w:t>
      </w:r>
      <w:r>
        <w:rPr>
          <w:rFonts w:ascii="Times New Roman" w:hAnsi="Times New Roman" w:eastAsia="Times New Roman"/>
          <w:sz w:val="21"/>
        </w:rPr>
        <w:t>10852—2012</w:t>
      </w:r>
      <w:r>
        <w:rPr>
          <w:rFonts w:ascii="Times New Roman" w:hAnsi="Times New Roman" w:eastAsia="Times New Roman"/>
          <w:spacing w:val="-2"/>
          <w:sz w:val="21"/>
        </w:rPr>
        <w:t xml:space="preserve"> </w:t>
      </w:r>
      <w:r>
        <w:rPr>
          <w:spacing w:val="-27"/>
          <w:sz w:val="21"/>
        </w:rPr>
        <w:t xml:space="preserve">第 </w:t>
      </w:r>
      <w:r>
        <w:rPr>
          <w:rFonts w:ascii="Times New Roman" w:hAnsi="Times New Roman" w:eastAsia="Times New Roman"/>
          <w:sz w:val="21"/>
        </w:rPr>
        <w:t>5</w:t>
      </w:r>
      <w:r>
        <w:rPr>
          <w:rFonts w:ascii="Times New Roman" w:hAnsi="Times New Roman" w:eastAsia="Times New Roman"/>
          <w:spacing w:val="-2"/>
          <w:sz w:val="21"/>
        </w:rPr>
        <w:t xml:space="preserve"> </w:t>
      </w:r>
      <w:r>
        <w:rPr>
          <w:spacing w:val="-1"/>
          <w:sz w:val="21"/>
        </w:rPr>
        <w:t>章的要求配备满足提供服务的设施和设备。</w:t>
      </w:r>
    </w:p>
    <w:p>
      <w:pPr>
        <w:pStyle w:val="3"/>
        <w:spacing w:before="6"/>
        <w:rPr>
          <w:sz w:val="15"/>
        </w:rPr>
      </w:pPr>
    </w:p>
    <w:p>
      <w:pPr>
        <w:pStyle w:val="10"/>
        <w:numPr>
          <w:ilvl w:val="1"/>
          <w:numId w:val="1"/>
        </w:numPr>
        <w:tabs>
          <w:tab w:val="left" w:pos="640"/>
        </w:tabs>
        <w:spacing w:before="0" w:after="0" w:line="240" w:lineRule="auto"/>
        <w:ind w:left="639" w:right="0" w:hanging="527"/>
        <w:jc w:val="left"/>
        <w:rPr>
          <w:rFonts w:ascii="黑体" w:eastAsia="黑体"/>
          <w:sz w:val="21"/>
        </w:rPr>
      </w:pPr>
      <w:r>
        <w:rPr>
          <w:rFonts w:ascii="黑体" w:eastAsia="黑体"/>
          <w:spacing w:val="-4"/>
          <w:sz w:val="21"/>
        </w:rPr>
        <w:t>标识系统</w:t>
      </w:r>
    </w:p>
    <w:p>
      <w:pPr>
        <w:pStyle w:val="3"/>
        <w:spacing w:before="7"/>
        <w:rPr>
          <w:rFonts w:ascii="黑体"/>
          <w:sz w:val="15"/>
        </w:rPr>
      </w:pPr>
    </w:p>
    <w:p>
      <w:pPr>
        <w:pStyle w:val="10"/>
        <w:numPr>
          <w:ilvl w:val="2"/>
          <w:numId w:val="1"/>
        </w:numPr>
        <w:tabs>
          <w:tab w:val="left" w:pos="850"/>
        </w:tabs>
        <w:spacing w:before="0" w:after="0" w:line="278" w:lineRule="auto"/>
        <w:ind w:left="113" w:right="1413" w:firstLine="0"/>
        <w:jc w:val="left"/>
        <w:rPr>
          <w:sz w:val="21"/>
        </w:rPr>
      </w:pPr>
      <w:r>
        <w:rPr>
          <w:spacing w:val="-4"/>
          <w:sz w:val="21"/>
        </w:rPr>
        <w:t xml:space="preserve">展览场所应设置导向标识系统，导向系统设置应符合 </w:t>
      </w:r>
      <w:r>
        <w:rPr>
          <w:rFonts w:ascii="Times New Roman" w:eastAsia="Times New Roman"/>
          <w:spacing w:val="-2"/>
          <w:sz w:val="21"/>
        </w:rPr>
        <w:t xml:space="preserve">GB/T 15566.1 </w:t>
      </w:r>
      <w:r>
        <w:rPr>
          <w:spacing w:val="-2"/>
          <w:sz w:val="21"/>
        </w:rPr>
        <w:t>的要求，导向要素的设计应</w:t>
      </w:r>
      <w:r>
        <w:rPr>
          <w:spacing w:val="-10"/>
          <w:sz w:val="21"/>
        </w:rPr>
        <w:t xml:space="preserve">符合 </w:t>
      </w:r>
      <w:r>
        <w:rPr>
          <w:rFonts w:ascii="Times New Roman" w:eastAsia="Times New Roman"/>
          <w:sz w:val="21"/>
        </w:rPr>
        <w:t xml:space="preserve">GB/T 20501.1 </w:t>
      </w:r>
      <w:r>
        <w:rPr>
          <w:spacing w:val="-2"/>
          <w:sz w:val="21"/>
        </w:rPr>
        <w:t xml:space="preserve">的要求，公共信息图形符号应符合 </w:t>
      </w:r>
      <w:r>
        <w:rPr>
          <w:rFonts w:ascii="Times New Roman" w:eastAsia="Times New Roman"/>
          <w:sz w:val="21"/>
        </w:rPr>
        <w:t xml:space="preserve">GB/T 10001.1 </w:t>
      </w:r>
      <w:r>
        <w:rPr>
          <w:sz w:val="21"/>
        </w:rPr>
        <w:t>的要求。</w:t>
      </w:r>
    </w:p>
    <w:p>
      <w:pPr>
        <w:pStyle w:val="10"/>
        <w:numPr>
          <w:ilvl w:val="2"/>
          <w:numId w:val="1"/>
        </w:numPr>
        <w:tabs>
          <w:tab w:val="left" w:pos="850"/>
        </w:tabs>
        <w:spacing w:before="0" w:after="0" w:line="269" w:lineRule="exact"/>
        <w:ind w:left="849" w:right="0" w:hanging="737"/>
        <w:jc w:val="both"/>
        <w:rPr>
          <w:sz w:val="21"/>
        </w:rPr>
      </w:pPr>
      <w:r>
        <w:rPr>
          <w:spacing w:val="-18"/>
          <w:sz w:val="21"/>
        </w:rPr>
        <w:t xml:space="preserve">应按 </w:t>
      </w:r>
      <w:r>
        <w:rPr>
          <w:rFonts w:ascii="Times New Roman" w:eastAsia="Times New Roman"/>
          <w:sz w:val="21"/>
        </w:rPr>
        <w:t>GB</w:t>
      </w:r>
      <w:r>
        <w:rPr>
          <w:rFonts w:ascii="Times New Roman" w:eastAsia="Times New Roman"/>
          <w:spacing w:val="-7"/>
          <w:sz w:val="21"/>
        </w:rPr>
        <w:t xml:space="preserve"> </w:t>
      </w:r>
      <w:r>
        <w:rPr>
          <w:rFonts w:ascii="Times New Roman" w:eastAsia="Times New Roman"/>
          <w:sz w:val="21"/>
        </w:rPr>
        <w:t>2894</w:t>
      </w:r>
      <w:r>
        <w:rPr>
          <w:sz w:val="21"/>
        </w:rPr>
        <w:t>、</w:t>
      </w:r>
      <w:r>
        <w:rPr>
          <w:rFonts w:ascii="Times New Roman" w:eastAsia="Times New Roman"/>
          <w:sz w:val="21"/>
        </w:rPr>
        <w:t>GB</w:t>
      </w:r>
      <w:r>
        <w:rPr>
          <w:rFonts w:ascii="Times New Roman" w:eastAsia="Times New Roman"/>
          <w:spacing w:val="-1"/>
          <w:sz w:val="21"/>
        </w:rPr>
        <w:t xml:space="preserve"> </w:t>
      </w:r>
      <w:r>
        <w:rPr>
          <w:rFonts w:ascii="Times New Roman" w:eastAsia="Times New Roman"/>
          <w:sz w:val="21"/>
        </w:rPr>
        <w:t>13495.1</w:t>
      </w:r>
      <w:r>
        <w:rPr>
          <w:rFonts w:ascii="Times New Roman" w:eastAsia="Times New Roman"/>
          <w:spacing w:val="-2"/>
          <w:sz w:val="21"/>
        </w:rPr>
        <w:t xml:space="preserve"> </w:t>
      </w:r>
      <w:r>
        <w:rPr>
          <w:spacing w:val="-27"/>
          <w:sz w:val="21"/>
        </w:rPr>
        <w:t xml:space="preserve">和 </w:t>
      </w:r>
      <w:r>
        <w:rPr>
          <w:rFonts w:ascii="Times New Roman" w:eastAsia="Times New Roman"/>
          <w:sz w:val="21"/>
        </w:rPr>
        <w:t>GB</w:t>
      </w:r>
      <w:r>
        <w:rPr>
          <w:rFonts w:ascii="Times New Roman" w:eastAsia="Times New Roman"/>
          <w:spacing w:val="-4"/>
          <w:sz w:val="21"/>
        </w:rPr>
        <w:t xml:space="preserve"> </w:t>
      </w:r>
      <w:r>
        <w:rPr>
          <w:rFonts w:ascii="Times New Roman" w:eastAsia="Times New Roman"/>
          <w:sz w:val="21"/>
        </w:rPr>
        <w:t xml:space="preserve">15630 </w:t>
      </w:r>
      <w:r>
        <w:rPr>
          <w:spacing w:val="-1"/>
          <w:sz w:val="21"/>
        </w:rPr>
        <w:t>的要求设置消防安全标志。</w:t>
      </w:r>
    </w:p>
    <w:p>
      <w:pPr>
        <w:pStyle w:val="10"/>
        <w:numPr>
          <w:ilvl w:val="2"/>
          <w:numId w:val="1"/>
        </w:numPr>
        <w:tabs>
          <w:tab w:val="left" w:pos="850"/>
        </w:tabs>
        <w:spacing w:before="43" w:after="0" w:line="240" w:lineRule="auto"/>
        <w:ind w:left="849" w:right="0" w:hanging="736"/>
        <w:jc w:val="left"/>
        <w:rPr>
          <w:sz w:val="21"/>
        </w:rPr>
      </w:pPr>
      <w:r>
        <w:rPr>
          <w:spacing w:val="-1"/>
          <w:sz w:val="21"/>
        </w:rPr>
        <w:t>各类标识系统的设置部位包括但不限于：</w:t>
      </w:r>
    </w:p>
    <w:p>
      <w:pPr>
        <w:pStyle w:val="10"/>
        <w:numPr>
          <w:ilvl w:val="3"/>
          <w:numId w:val="1"/>
        </w:numPr>
        <w:tabs>
          <w:tab w:val="left" w:pos="955"/>
        </w:tabs>
        <w:spacing w:before="43" w:after="0" w:line="240" w:lineRule="auto"/>
        <w:ind w:left="954" w:right="0" w:hanging="421"/>
        <w:jc w:val="left"/>
        <w:rPr>
          <w:sz w:val="21"/>
        </w:rPr>
      </w:pPr>
      <w:r>
        <w:rPr>
          <w:spacing w:val="-4"/>
          <w:sz w:val="21"/>
        </w:rPr>
        <w:t>展馆；</w:t>
      </w:r>
    </w:p>
    <w:p>
      <w:pPr>
        <w:pStyle w:val="10"/>
        <w:numPr>
          <w:ilvl w:val="3"/>
          <w:numId w:val="1"/>
        </w:numPr>
        <w:tabs>
          <w:tab w:val="left" w:pos="955"/>
        </w:tabs>
        <w:spacing w:before="43" w:after="0" w:line="240" w:lineRule="auto"/>
        <w:ind w:left="954" w:right="0" w:hanging="421"/>
        <w:jc w:val="left"/>
        <w:rPr>
          <w:sz w:val="21"/>
        </w:rPr>
      </w:pPr>
      <w:r>
        <w:rPr>
          <w:spacing w:val="-3"/>
          <w:sz w:val="21"/>
        </w:rPr>
        <w:t>停车区；</w:t>
      </w:r>
    </w:p>
    <w:p>
      <w:pPr>
        <w:pStyle w:val="10"/>
        <w:numPr>
          <w:ilvl w:val="3"/>
          <w:numId w:val="1"/>
        </w:numPr>
        <w:tabs>
          <w:tab w:val="left" w:pos="955"/>
        </w:tabs>
        <w:spacing w:before="43" w:after="0" w:line="240" w:lineRule="auto"/>
        <w:ind w:left="954" w:right="0" w:hanging="421"/>
        <w:jc w:val="left"/>
        <w:rPr>
          <w:sz w:val="21"/>
        </w:rPr>
      </w:pPr>
      <w:r>
        <w:rPr>
          <w:spacing w:val="-3"/>
          <w:sz w:val="21"/>
        </w:rPr>
        <w:t>卸货区；</w:t>
      </w:r>
    </w:p>
    <w:p>
      <w:pPr>
        <w:pStyle w:val="10"/>
        <w:numPr>
          <w:ilvl w:val="3"/>
          <w:numId w:val="1"/>
        </w:numPr>
        <w:tabs>
          <w:tab w:val="left" w:pos="955"/>
        </w:tabs>
        <w:spacing w:before="43" w:after="0" w:line="240" w:lineRule="auto"/>
        <w:ind w:left="954" w:right="0" w:hanging="421"/>
        <w:jc w:val="left"/>
        <w:rPr>
          <w:sz w:val="21"/>
        </w:rPr>
      </w:pPr>
      <w:r>
        <w:rPr>
          <w:spacing w:val="-3"/>
          <w:sz w:val="21"/>
        </w:rPr>
        <w:t>仓储区；</w:t>
      </w:r>
    </w:p>
    <w:p>
      <w:pPr>
        <w:pStyle w:val="10"/>
        <w:numPr>
          <w:ilvl w:val="3"/>
          <w:numId w:val="1"/>
        </w:numPr>
        <w:tabs>
          <w:tab w:val="left" w:pos="955"/>
        </w:tabs>
        <w:spacing w:before="43" w:after="0" w:line="240" w:lineRule="auto"/>
        <w:ind w:left="954" w:right="0" w:hanging="421"/>
        <w:jc w:val="left"/>
        <w:rPr>
          <w:sz w:val="21"/>
        </w:rPr>
      </w:pPr>
      <w:r>
        <w:rPr>
          <w:spacing w:val="-2"/>
          <w:sz w:val="21"/>
        </w:rPr>
        <w:t>内部道路；</w:t>
      </w:r>
    </w:p>
    <w:p>
      <w:pPr>
        <w:pStyle w:val="10"/>
        <w:numPr>
          <w:ilvl w:val="3"/>
          <w:numId w:val="1"/>
        </w:numPr>
        <w:tabs>
          <w:tab w:val="left" w:pos="955"/>
        </w:tabs>
        <w:spacing w:before="43" w:after="0" w:line="240" w:lineRule="auto"/>
        <w:ind w:left="954" w:right="0" w:hanging="421"/>
        <w:jc w:val="left"/>
        <w:rPr>
          <w:sz w:val="21"/>
        </w:rPr>
      </w:pPr>
      <w:r>
        <w:rPr>
          <w:spacing w:val="-2"/>
          <w:sz w:val="21"/>
        </w:rPr>
        <w:t>安全通道；</w:t>
      </w:r>
    </w:p>
    <w:p>
      <w:pPr>
        <w:pStyle w:val="10"/>
        <w:numPr>
          <w:ilvl w:val="3"/>
          <w:numId w:val="1"/>
        </w:numPr>
        <w:tabs>
          <w:tab w:val="left" w:pos="955"/>
        </w:tabs>
        <w:spacing w:before="42" w:after="0" w:line="240" w:lineRule="auto"/>
        <w:ind w:left="954" w:right="0" w:hanging="421"/>
        <w:jc w:val="left"/>
        <w:rPr>
          <w:sz w:val="21"/>
        </w:rPr>
      </w:pPr>
      <w:r>
        <w:rPr>
          <w:spacing w:val="-3"/>
          <w:sz w:val="21"/>
        </w:rPr>
        <w:t>出入口；</w:t>
      </w:r>
    </w:p>
    <w:p>
      <w:pPr>
        <w:pStyle w:val="10"/>
        <w:numPr>
          <w:ilvl w:val="3"/>
          <w:numId w:val="1"/>
        </w:numPr>
        <w:tabs>
          <w:tab w:val="left" w:pos="955"/>
        </w:tabs>
        <w:spacing w:before="43" w:after="0" w:line="240" w:lineRule="auto"/>
        <w:ind w:left="954" w:right="0" w:hanging="421"/>
        <w:jc w:val="left"/>
        <w:rPr>
          <w:sz w:val="21"/>
        </w:rPr>
      </w:pPr>
      <w:r>
        <w:rPr>
          <w:spacing w:val="-3"/>
          <w:sz w:val="21"/>
        </w:rPr>
        <w:t>卫生间。</w:t>
      </w:r>
    </w:p>
    <w:p>
      <w:pPr>
        <w:pStyle w:val="3"/>
        <w:spacing w:before="7"/>
        <w:rPr>
          <w:sz w:val="15"/>
        </w:rPr>
      </w:pPr>
    </w:p>
    <w:p>
      <w:pPr>
        <w:pStyle w:val="10"/>
        <w:numPr>
          <w:ilvl w:val="1"/>
          <w:numId w:val="1"/>
        </w:numPr>
        <w:tabs>
          <w:tab w:val="left" w:pos="640"/>
        </w:tabs>
        <w:spacing w:before="0" w:after="0" w:line="240" w:lineRule="auto"/>
        <w:ind w:left="639" w:right="0" w:hanging="526"/>
        <w:jc w:val="left"/>
        <w:rPr>
          <w:rFonts w:ascii="黑体" w:eastAsia="黑体"/>
          <w:sz w:val="21"/>
        </w:rPr>
      </w:pPr>
      <w:r>
        <w:rPr>
          <w:rFonts w:ascii="黑体" w:eastAsia="黑体"/>
          <w:spacing w:val="-4"/>
          <w:sz w:val="21"/>
        </w:rPr>
        <w:t>管理体系</w:t>
      </w:r>
    </w:p>
    <w:p>
      <w:pPr>
        <w:pStyle w:val="3"/>
        <w:spacing w:before="7"/>
        <w:rPr>
          <w:rFonts w:ascii="黑体"/>
          <w:sz w:val="15"/>
        </w:rPr>
      </w:pPr>
    </w:p>
    <w:p>
      <w:pPr>
        <w:pStyle w:val="10"/>
        <w:numPr>
          <w:ilvl w:val="2"/>
          <w:numId w:val="1"/>
        </w:numPr>
        <w:tabs>
          <w:tab w:val="left" w:pos="850"/>
        </w:tabs>
        <w:spacing w:before="0" w:after="0" w:line="240" w:lineRule="auto"/>
        <w:ind w:left="849" w:right="0" w:hanging="736"/>
        <w:jc w:val="left"/>
        <w:rPr>
          <w:sz w:val="21"/>
        </w:rPr>
      </w:pPr>
      <w:r>
        <w:rPr>
          <w:spacing w:val="-1"/>
          <w:sz w:val="21"/>
        </w:rPr>
        <w:t>展览场馆运营方应建立完善的管理体系，包括质量、环境、职业健康、安全生产等内容。</w:t>
      </w:r>
    </w:p>
    <w:p>
      <w:pPr>
        <w:pStyle w:val="10"/>
        <w:numPr>
          <w:ilvl w:val="2"/>
          <w:numId w:val="1"/>
        </w:numPr>
        <w:tabs>
          <w:tab w:val="left" w:pos="850"/>
        </w:tabs>
        <w:spacing w:before="43" w:after="0" w:line="278" w:lineRule="auto"/>
        <w:ind w:left="114" w:right="1422" w:firstLine="0"/>
        <w:jc w:val="left"/>
        <w:rPr>
          <w:sz w:val="21"/>
        </w:rPr>
      </w:pPr>
      <w:r>
        <w:rPr>
          <w:spacing w:val="-2"/>
          <w:sz w:val="21"/>
        </w:rPr>
        <w:t>展览场馆运营方应建立与实际相符的标准体系，制定相应服务流程、服务规范、管理要求，满足运营与服务要求。</w:t>
      </w:r>
    </w:p>
    <w:p>
      <w:pPr>
        <w:pStyle w:val="3"/>
        <w:rPr>
          <w:sz w:val="20"/>
        </w:rPr>
      </w:pPr>
    </w:p>
    <w:p>
      <w:pPr>
        <w:pStyle w:val="3"/>
        <w:rPr>
          <w:sz w:val="20"/>
        </w:rPr>
      </w:pPr>
    </w:p>
    <w:p>
      <w:pPr>
        <w:pStyle w:val="3"/>
        <w:spacing w:before="8"/>
        <w:rPr>
          <w:sz w:val="24"/>
        </w:rPr>
      </w:pPr>
    </w:p>
    <w:p>
      <w:pPr>
        <w:spacing w:before="75"/>
        <w:ind w:left="334" w:right="0" w:firstLine="0"/>
        <w:jc w:val="left"/>
        <w:rPr>
          <w:sz w:val="18"/>
        </w:rPr>
      </w:pPr>
      <w:r>
        <w:rPr>
          <w:sz w:val="18"/>
        </w:rPr>
        <w:t>2</w:t>
      </w:r>
    </w:p>
    <w:p>
      <w:pPr>
        <w:spacing w:after="0"/>
        <w:jc w:val="left"/>
        <w:rPr>
          <w:sz w:val="18"/>
        </w:rPr>
        <w:sectPr>
          <w:pgSz w:w="11910" w:h="16840"/>
          <w:pgMar w:top="1660" w:right="0" w:bottom="280" w:left="1020" w:header="1442" w:footer="0" w:gutter="0"/>
          <w:cols w:space="720" w:num="1"/>
        </w:sectPr>
      </w:pPr>
    </w:p>
    <w:p>
      <w:pPr>
        <w:pStyle w:val="3"/>
        <w:spacing w:before="7"/>
        <w:rPr>
          <w:sz w:val="14"/>
        </w:rPr>
      </w:pPr>
    </w:p>
    <w:p>
      <w:pPr>
        <w:pStyle w:val="10"/>
        <w:numPr>
          <w:ilvl w:val="1"/>
          <w:numId w:val="1"/>
        </w:numPr>
        <w:tabs>
          <w:tab w:val="left" w:pos="924"/>
        </w:tabs>
        <w:spacing w:before="70" w:after="0" w:line="240" w:lineRule="auto"/>
        <w:ind w:left="923" w:right="0" w:hanging="527"/>
        <w:jc w:val="left"/>
        <w:rPr>
          <w:rFonts w:ascii="黑体" w:eastAsia="黑体"/>
          <w:sz w:val="21"/>
        </w:rPr>
      </w:pPr>
      <w:r>
        <w:rPr>
          <w:rFonts w:ascii="黑体" w:eastAsia="黑体"/>
          <w:spacing w:val="-4"/>
          <w:sz w:val="21"/>
        </w:rPr>
        <w:t>安全管理</w:t>
      </w:r>
    </w:p>
    <w:p>
      <w:pPr>
        <w:pStyle w:val="3"/>
        <w:spacing w:before="7"/>
        <w:rPr>
          <w:rFonts w:ascii="黑体"/>
          <w:sz w:val="15"/>
        </w:rPr>
      </w:pPr>
    </w:p>
    <w:p>
      <w:pPr>
        <w:pStyle w:val="10"/>
        <w:numPr>
          <w:ilvl w:val="2"/>
          <w:numId w:val="1"/>
        </w:numPr>
        <w:tabs>
          <w:tab w:val="left" w:pos="1133"/>
        </w:tabs>
        <w:spacing w:before="0" w:after="0" w:line="278" w:lineRule="auto"/>
        <w:ind w:left="397" w:right="1139" w:firstLine="0"/>
        <w:jc w:val="left"/>
        <w:rPr>
          <w:sz w:val="21"/>
        </w:rPr>
      </w:pPr>
      <w:r>
        <w:rPr>
          <w:spacing w:val="-2"/>
          <w:sz w:val="21"/>
        </w:rPr>
        <w:t>建立安全责任制，建立健全安保、交通、消防、安全生产等规章制度及公共卫生、治安事件、设施设备突发故障等各类突发事件应急响应预案。</w:t>
      </w:r>
    </w:p>
    <w:p>
      <w:pPr>
        <w:pStyle w:val="10"/>
        <w:numPr>
          <w:ilvl w:val="2"/>
          <w:numId w:val="1"/>
        </w:numPr>
        <w:tabs>
          <w:tab w:val="left" w:pos="1133"/>
        </w:tabs>
        <w:spacing w:before="0" w:after="0" w:line="269" w:lineRule="exact"/>
        <w:ind w:left="1132" w:right="0" w:hanging="736"/>
        <w:jc w:val="left"/>
        <w:rPr>
          <w:sz w:val="21"/>
        </w:rPr>
      </w:pPr>
      <w:r>
        <w:rPr>
          <w:spacing w:val="-1"/>
          <w:sz w:val="21"/>
        </w:rPr>
        <w:t>定期组织现场人员进行安全、消防知识培训及实操演练。</w:t>
      </w:r>
    </w:p>
    <w:p>
      <w:pPr>
        <w:pStyle w:val="10"/>
        <w:numPr>
          <w:ilvl w:val="2"/>
          <w:numId w:val="1"/>
        </w:numPr>
        <w:tabs>
          <w:tab w:val="left" w:pos="1133"/>
        </w:tabs>
        <w:spacing w:before="43" w:after="0" w:line="240" w:lineRule="auto"/>
        <w:ind w:left="1132" w:right="0" w:hanging="736"/>
        <w:jc w:val="left"/>
        <w:rPr>
          <w:sz w:val="21"/>
        </w:rPr>
      </w:pPr>
      <w:r>
        <w:rPr>
          <w:sz w:val="21"/>
        </w:rPr>
        <w:t>监督包括主（承）</w:t>
      </w:r>
      <w:r>
        <w:rPr>
          <w:spacing w:val="-1"/>
          <w:sz w:val="21"/>
        </w:rPr>
        <w:t>办单位、参展商、工程施工单位等各相关方做好安全责任的贯彻落实。</w:t>
      </w:r>
    </w:p>
    <w:p>
      <w:pPr>
        <w:pStyle w:val="10"/>
        <w:numPr>
          <w:ilvl w:val="2"/>
          <w:numId w:val="1"/>
        </w:numPr>
        <w:tabs>
          <w:tab w:val="left" w:pos="1133"/>
        </w:tabs>
        <w:spacing w:before="43" w:after="0" w:line="278" w:lineRule="auto"/>
        <w:ind w:left="397" w:right="1139" w:firstLine="0"/>
        <w:jc w:val="left"/>
        <w:rPr>
          <w:sz w:val="21"/>
        </w:rPr>
      </w:pPr>
      <w:r>
        <w:rPr>
          <w:spacing w:val="-18"/>
          <w:sz w:val="21"/>
        </w:rPr>
        <w:t xml:space="preserve">建立 </w:t>
      </w:r>
      <w:r>
        <w:rPr>
          <w:rFonts w:ascii="Times New Roman" w:eastAsia="Times New Roman"/>
          <w:sz w:val="21"/>
        </w:rPr>
        <w:t>24h</w:t>
      </w:r>
      <w:r>
        <w:rPr>
          <w:rFonts w:ascii="Times New Roman" w:eastAsia="Times New Roman"/>
          <w:spacing w:val="-14"/>
          <w:sz w:val="21"/>
        </w:rPr>
        <w:t xml:space="preserve"> </w:t>
      </w:r>
      <w:r>
        <w:rPr>
          <w:sz w:val="21"/>
        </w:rPr>
        <w:t>值班制度，做好布展、开展、撤展期间的治安、消防、交通、施工等安全巡查工作，</w:t>
      </w:r>
      <w:r>
        <w:rPr>
          <w:spacing w:val="-2"/>
          <w:sz w:val="21"/>
        </w:rPr>
        <w:t>对检查发现的问题应及时落实整改。</w:t>
      </w:r>
    </w:p>
    <w:p>
      <w:pPr>
        <w:pStyle w:val="3"/>
        <w:spacing w:before="4"/>
        <w:rPr>
          <w:sz w:val="24"/>
        </w:rPr>
      </w:pPr>
    </w:p>
    <w:p>
      <w:pPr>
        <w:pStyle w:val="10"/>
        <w:numPr>
          <w:ilvl w:val="0"/>
          <w:numId w:val="1"/>
        </w:numPr>
        <w:tabs>
          <w:tab w:val="left" w:pos="714"/>
        </w:tabs>
        <w:spacing w:before="0" w:after="0" w:line="240" w:lineRule="auto"/>
        <w:ind w:left="713" w:right="0" w:hanging="317"/>
        <w:jc w:val="left"/>
        <w:rPr>
          <w:rFonts w:ascii="黑体" w:eastAsia="黑体"/>
          <w:b/>
          <w:bCs/>
          <w:sz w:val="21"/>
        </w:rPr>
      </w:pPr>
      <w:r>
        <w:rPr>
          <w:rFonts w:ascii="黑体" w:eastAsia="黑体"/>
          <w:b/>
          <w:bCs/>
          <w:spacing w:val="-4"/>
          <w:sz w:val="21"/>
        </w:rPr>
        <w:t>服务项目</w:t>
      </w:r>
    </w:p>
    <w:p>
      <w:pPr>
        <w:pStyle w:val="3"/>
        <w:spacing w:before="9"/>
        <w:rPr>
          <w:rFonts w:ascii="黑体"/>
          <w:sz w:val="27"/>
        </w:rPr>
      </w:pPr>
    </w:p>
    <w:p>
      <w:pPr>
        <w:pStyle w:val="10"/>
        <w:numPr>
          <w:ilvl w:val="1"/>
          <w:numId w:val="1"/>
        </w:numPr>
        <w:tabs>
          <w:tab w:val="left" w:pos="923"/>
        </w:tabs>
        <w:spacing w:before="0" w:after="0" w:line="240" w:lineRule="auto"/>
        <w:ind w:left="922" w:right="0" w:hanging="526"/>
        <w:jc w:val="left"/>
        <w:rPr>
          <w:sz w:val="21"/>
        </w:rPr>
      </w:pPr>
      <w:r>
        <w:rPr>
          <w:spacing w:val="-1"/>
          <w:sz w:val="21"/>
        </w:rPr>
        <w:t>展览场馆运营方应提供以下基本服务：</w:t>
      </w:r>
    </w:p>
    <w:p>
      <w:pPr>
        <w:pStyle w:val="10"/>
        <w:numPr>
          <w:ilvl w:val="0"/>
          <w:numId w:val="2"/>
        </w:numPr>
        <w:tabs>
          <w:tab w:val="left" w:pos="1236"/>
        </w:tabs>
        <w:spacing w:before="43" w:after="0" w:line="240" w:lineRule="auto"/>
        <w:ind w:left="1236" w:right="0" w:hanging="419"/>
        <w:jc w:val="left"/>
        <w:rPr>
          <w:sz w:val="21"/>
        </w:rPr>
      </w:pPr>
      <w:r>
        <w:rPr>
          <w:spacing w:val="-1"/>
          <w:sz w:val="21"/>
        </w:rPr>
        <w:t>展览、会议等活动及配套的公共区域、卸货区域、停车区域、仓储物流区域的场地使用；</w:t>
      </w:r>
    </w:p>
    <w:p>
      <w:pPr>
        <w:pStyle w:val="10"/>
        <w:numPr>
          <w:ilvl w:val="0"/>
          <w:numId w:val="2"/>
        </w:numPr>
        <w:tabs>
          <w:tab w:val="left" w:pos="1236"/>
        </w:tabs>
        <w:spacing w:before="43" w:after="0" w:line="240" w:lineRule="auto"/>
        <w:ind w:left="1236" w:right="0" w:hanging="419"/>
        <w:jc w:val="left"/>
        <w:rPr>
          <w:sz w:val="21"/>
        </w:rPr>
      </w:pPr>
      <w:r>
        <w:rPr>
          <w:spacing w:val="-1"/>
          <w:sz w:val="21"/>
        </w:rPr>
        <w:t>展览场地和公共区域的照明；</w:t>
      </w:r>
    </w:p>
    <w:p>
      <w:pPr>
        <w:pStyle w:val="10"/>
        <w:numPr>
          <w:ilvl w:val="0"/>
          <w:numId w:val="2"/>
        </w:numPr>
        <w:tabs>
          <w:tab w:val="left" w:pos="1236"/>
        </w:tabs>
        <w:spacing w:before="43" w:after="0" w:line="240" w:lineRule="auto"/>
        <w:ind w:left="1236" w:right="0" w:hanging="419"/>
        <w:jc w:val="left"/>
        <w:rPr>
          <w:sz w:val="21"/>
        </w:rPr>
      </w:pPr>
      <w:r>
        <w:rPr>
          <w:spacing w:val="-1"/>
          <w:sz w:val="21"/>
        </w:rPr>
        <w:t>室内区域的空气调节；</w:t>
      </w:r>
    </w:p>
    <w:p>
      <w:pPr>
        <w:pStyle w:val="10"/>
        <w:numPr>
          <w:ilvl w:val="0"/>
          <w:numId w:val="2"/>
        </w:numPr>
        <w:tabs>
          <w:tab w:val="left" w:pos="1236"/>
        </w:tabs>
        <w:spacing w:before="43" w:after="0" w:line="240" w:lineRule="auto"/>
        <w:ind w:left="1236" w:right="0" w:hanging="419"/>
        <w:jc w:val="left"/>
        <w:rPr>
          <w:sz w:val="21"/>
        </w:rPr>
      </w:pPr>
      <w:r>
        <w:rPr>
          <w:spacing w:val="-2"/>
          <w:sz w:val="21"/>
        </w:rPr>
        <w:t>供电、供水；</w:t>
      </w:r>
    </w:p>
    <w:p>
      <w:pPr>
        <w:pStyle w:val="10"/>
        <w:numPr>
          <w:ilvl w:val="0"/>
          <w:numId w:val="2"/>
        </w:numPr>
        <w:tabs>
          <w:tab w:val="left" w:pos="1236"/>
        </w:tabs>
        <w:spacing w:before="43" w:after="0" w:line="240" w:lineRule="auto"/>
        <w:ind w:left="1236" w:right="0" w:hanging="419"/>
        <w:jc w:val="left"/>
        <w:rPr>
          <w:sz w:val="21"/>
        </w:rPr>
      </w:pPr>
      <w:r>
        <w:rPr>
          <w:spacing w:val="-2"/>
          <w:sz w:val="21"/>
        </w:rPr>
        <w:t>标识导引；</w:t>
      </w:r>
    </w:p>
    <w:p>
      <w:pPr>
        <w:pStyle w:val="10"/>
        <w:numPr>
          <w:ilvl w:val="0"/>
          <w:numId w:val="2"/>
        </w:numPr>
        <w:tabs>
          <w:tab w:val="left" w:pos="1236"/>
        </w:tabs>
        <w:spacing w:before="43" w:after="0" w:line="240" w:lineRule="auto"/>
        <w:ind w:left="1236" w:right="0" w:hanging="419"/>
        <w:jc w:val="left"/>
        <w:rPr>
          <w:sz w:val="21"/>
        </w:rPr>
      </w:pPr>
      <w:r>
        <w:rPr>
          <w:spacing w:val="-4"/>
          <w:sz w:val="21"/>
        </w:rPr>
        <w:t>播音；</w:t>
      </w:r>
    </w:p>
    <w:p>
      <w:pPr>
        <w:pStyle w:val="10"/>
        <w:numPr>
          <w:ilvl w:val="0"/>
          <w:numId w:val="2"/>
        </w:numPr>
        <w:tabs>
          <w:tab w:val="left" w:pos="1236"/>
        </w:tabs>
        <w:spacing w:before="43" w:after="0" w:line="240" w:lineRule="auto"/>
        <w:ind w:left="1236" w:right="0" w:hanging="419"/>
        <w:jc w:val="left"/>
        <w:rPr>
          <w:sz w:val="21"/>
        </w:rPr>
      </w:pPr>
      <w:r>
        <w:rPr>
          <w:spacing w:val="-4"/>
          <w:sz w:val="21"/>
        </w:rPr>
        <w:t>保洁；</w:t>
      </w:r>
    </w:p>
    <w:p>
      <w:pPr>
        <w:pStyle w:val="10"/>
        <w:numPr>
          <w:ilvl w:val="0"/>
          <w:numId w:val="2"/>
        </w:numPr>
        <w:tabs>
          <w:tab w:val="left" w:pos="1236"/>
        </w:tabs>
        <w:spacing w:before="43" w:after="0" w:line="240" w:lineRule="auto"/>
        <w:ind w:left="1236" w:right="0" w:hanging="419"/>
        <w:jc w:val="left"/>
        <w:rPr>
          <w:sz w:val="21"/>
        </w:rPr>
      </w:pPr>
      <w:r>
        <w:rPr>
          <w:spacing w:val="-4"/>
          <w:sz w:val="21"/>
        </w:rPr>
        <w:t>安保；</w:t>
      </w:r>
    </w:p>
    <w:p>
      <w:pPr>
        <w:pStyle w:val="10"/>
        <w:numPr>
          <w:ilvl w:val="0"/>
          <w:numId w:val="2"/>
        </w:numPr>
        <w:tabs>
          <w:tab w:val="left" w:pos="1236"/>
        </w:tabs>
        <w:spacing w:before="43" w:after="0" w:line="240" w:lineRule="auto"/>
        <w:ind w:left="1236" w:right="0" w:hanging="419"/>
        <w:jc w:val="left"/>
        <w:rPr>
          <w:sz w:val="21"/>
        </w:rPr>
      </w:pPr>
      <w:r>
        <w:rPr>
          <w:spacing w:val="-4"/>
          <w:sz w:val="21"/>
        </w:rPr>
        <w:t>防疫；</w:t>
      </w:r>
    </w:p>
    <w:p>
      <w:pPr>
        <w:pStyle w:val="10"/>
        <w:numPr>
          <w:ilvl w:val="0"/>
          <w:numId w:val="2"/>
        </w:numPr>
        <w:tabs>
          <w:tab w:val="left" w:pos="1236"/>
        </w:tabs>
        <w:spacing w:before="43" w:after="0" w:line="240" w:lineRule="auto"/>
        <w:ind w:left="1236" w:right="0" w:hanging="419"/>
        <w:jc w:val="left"/>
        <w:rPr>
          <w:sz w:val="21"/>
        </w:rPr>
      </w:pPr>
      <w:r>
        <w:rPr>
          <w:spacing w:val="-2"/>
          <w:sz w:val="21"/>
        </w:rPr>
        <w:t>车辆停放；</w:t>
      </w:r>
    </w:p>
    <w:p>
      <w:pPr>
        <w:pStyle w:val="10"/>
        <w:numPr>
          <w:ilvl w:val="0"/>
          <w:numId w:val="2"/>
        </w:numPr>
        <w:tabs>
          <w:tab w:val="left" w:pos="1236"/>
        </w:tabs>
        <w:spacing w:before="42" w:after="0" w:line="240" w:lineRule="auto"/>
        <w:ind w:left="1236" w:right="0" w:hanging="419"/>
        <w:jc w:val="left"/>
        <w:rPr>
          <w:sz w:val="21"/>
        </w:rPr>
      </w:pPr>
      <w:r>
        <w:rPr>
          <w:spacing w:val="-2"/>
          <w:sz w:val="21"/>
        </w:rPr>
        <w:t>咨询、投诉受理。</w:t>
      </w:r>
    </w:p>
    <w:p>
      <w:pPr>
        <w:pStyle w:val="10"/>
        <w:numPr>
          <w:ilvl w:val="1"/>
          <w:numId w:val="1"/>
        </w:numPr>
        <w:tabs>
          <w:tab w:val="left" w:pos="923"/>
        </w:tabs>
        <w:spacing w:before="43" w:after="0" w:line="240" w:lineRule="auto"/>
        <w:ind w:left="922" w:right="0" w:hanging="526"/>
        <w:jc w:val="left"/>
        <w:rPr>
          <w:sz w:val="21"/>
        </w:rPr>
      </w:pPr>
      <w:r>
        <w:rPr>
          <w:spacing w:val="-1"/>
          <w:sz w:val="21"/>
        </w:rPr>
        <w:t>展览场馆运营方宜提供以下配套服务：</w:t>
      </w:r>
    </w:p>
    <w:p>
      <w:pPr>
        <w:pStyle w:val="10"/>
        <w:numPr>
          <w:ilvl w:val="0"/>
          <w:numId w:val="3"/>
        </w:numPr>
        <w:tabs>
          <w:tab w:val="left" w:pos="1238"/>
        </w:tabs>
        <w:spacing w:before="43" w:after="0" w:line="240" w:lineRule="auto"/>
        <w:ind w:left="1237" w:right="0" w:hanging="421"/>
        <w:jc w:val="left"/>
        <w:rPr>
          <w:sz w:val="21"/>
        </w:rPr>
      </w:pPr>
      <w:r>
        <w:rPr>
          <w:spacing w:val="-4"/>
          <w:sz w:val="21"/>
        </w:rPr>
        <w:t>会议；</w:t>
      </w:r>
    </w:p>
    <w:p>
      <w:pPr>
        <w:pStyle w:val="10"/>
        <w:numPr>
          <w:ilvl w:val="0"/>
          <w:numId w:val="3"/>
        </w:numPr>
        <w:tabs>
          <w:tab w:val="left" w:pos="1238"/>
        </w:tabs>
        <w:spacing w:before="43" w:after="0" w:line="240" w:lineRule="auto"/>
        <w:ind w:left="1237" w:right="0" w:hanging="421"/>
        <w:jc w:val="left"/>
        <w:rPr>
          <w:sz w:val="21"/>
        </w:rPr>
      </w:pPr>
      <w:r>
        <w:rPr>
          <w:sz w:val="21"/>
        </w:rPr>
        <w:t>开（闭）</w:t>
      </w:r>
      <w:r>
        <w:rPr>
          <w:spacing w:val="-4"/>
          <w:sz w:val="21"/>
        </w:rPr>
        <w:t>幕式；</w:t>
      </w:r>
    </w:p>
    <w:p>
      <w:pPr>
        <w:pStyle w:val="10"/>
        <w:numPr>
          <w:ilvl w:val="0"/>
          <w:numId w:val="3"/>
        </w:numPr>
        <w:tabs>
          <w:tab w:val="left" w:pos="1238"/>
        </w:tabs>
        <w:spacing w:before="43" w:after="0" w:line="240" w:lineRule="auto"/>
        <w:ind w:left="1237" w:right="0" w:hanging="421"/>
        <w:jc w:val="left"/>
        <w:rPr>
          <w:sz w:val="21"/>
        </w:rPr>
      </w:pPr>
      <w:r>
        <w:rPr>
          <w:spacing w:val="-4"/>
          <w:sz w:val="21"/>
        </w:rPr>
        <w:t>物流；</w:t>
      </w:r>
    </w:p>
    <w:p>
      <w:pPr>
        <w:pStyle w:val="10"/>
        <w:numPr>
          <w:ilvl w:val="0"/>
          <w:numId w:val="3"/>
        </w:numPr>
        <w:tabs>
          <w:tab w:val="left" w:pos="1238"/>
        </w:tabs>
        <w:spacing w:before="43" w:after="0" w:line="240" w:lineRule="auto"/>
        <w:ind w:left="1237" w:right="0" w:hanging="421"/>
        <w:jc w:val="left"/>
        <w:rPr>
          <w:sz w:val="21"/>
        </w:rPr>
      </w:pPr>
      <w:r>
        <w:rPr>
          <w:spacing w:val="-4"/>
          <w:sz w:val="21"/>
        </w:rPr>
        <w:t>餐饮；</w:t>
      </w:r>
    </w:p>
    <w:p>
      <w:pPr>
        <w:pStyle w:val="10"/>
        <w:numPr>
          <w:ilvl w:val="0"/>
          <w:numId w:val="3"/>
        </w:numPr>
        <w:tabs>
          <w:tab w:val="left" w:pos="1238"/>
        </w:tabs>
        <w:spacing w:before="43" w:after="0" w:line="240" w:lineRule="auto"/>
        <w:ind w:left="1237" w:right="0" w:hanging="421"/>
        <w:jc w:val="left"/>
        <w:rPr>
          <w:sz w:val="21"/>
        </w:rPr>
      </w:pPr>
      <w:r>
        <w:rPr>
          <w:spacing w:val="-4"/>
          <w:sz w:val="21"/>
        </w:rPr>
        <w:t>租赁；</w:t>
      </w:r>
    </w:p>
    <w:p>
      <w:pPr>
        <w:pStyle w:val="10"/>
        <w:numPr>
          <w:ilvl w:val="0"/>
          <w:numId w:val="3"/>
        </w:numPr>
        <w:tabs>
          <w:tab w:val="left" w:pos="1238"/>
        </w:tabs>
        <w:spacing w:before="43" w:after="0" w:line="240" w:lineRule="auto"/>
        <w:ind w:left="1237" w:right="0" w:hanging="421"/>
        <w:jc w:val="left"/>
        <w:rPr>
          <w:sz w:val="21"/>
        </w:rPr>
      </w:pPr>
      <w:r>
        <w:rPr>
          <w:spacing w:val="-2"/>
          <w:sz w:val="21"/>
        </w:rPr>
        <w:t>通信网络；</w:t>
      </w:r>
    </w:p>
    <w:p>
      <w:pPr>
        <w:pStyle w:val="10"/>
        <w:numPr>
          <w:ilvl w:val="0"/>
          <w:numId w:val="3"/>
        </w:numPr>
        <w:tabs>
          <w:tab w:val="left" w:pos="1238"/>
        </w:tabs>
        <w:spacing w:before="43" w:after="0" w:line="240" w:lineRule="auto"/>
        <w:ind w:left="1237" w:right="0" w:hanging="421"/>
        <w:jc w:val="left"/>
        <w:rPr>
          <w:sz w:val="21"/>
        </w:rPr>
      </w:pPr>
      <w:r>
        <w:rPr>
          <w:spacing w:val="-3"/>
          <w:sz w:val="21"/>
        </w:rPr>
        <w:t>信息化；</w:t>
      </w:r>
    </w:p>
    <w:p>
      <w:pPr>
        <w:pStyle w:val="10"/>
        <w:numPr>
          <w:ilvl w:val="0"/>
          <w:numId w:val="3"/>
        </w:numPr>
        <w:tabs>
          <w:tab w:val="left" w:pos="1238"/>
        </w:tabs>
        <w:spacing w:before="43" w:after="0" w:line="240" w:lineRule="auto"/>
        <w:ind w:left="1237" w:right="0" w:hanging="421"/>
        <w:jc w:val="left"/>
        <w:rPr>
          <w:sz w:val="21"/>
        </w:rPr>
      </w:pPr>
      <w:r>
        <w:rPr>
          <w:spacing w:val="-2"/>
          <w:sz w:val="21"/>
        </w:rPr>
        <w:t>物品寄存及其他。</w:t>
      </w:r>
    </w:p>
    <w:p>
      <w:pPr>
        <w:pStyle w:val="3"/>
        <w:spacing w:before="9"/>
        <w:rPr>
          <w:sz w:val="27"/>
        </w:rPr>
      </w:pPr>
    </w:p>
    <w:p>
      <w:pPr>
        <w:pStyle w:val="10"/>
        <w:numPr>
          <w:ilvl w:val="0"/>
          <w:numId w:val="1"/>
        </w:numPr>
        <w:tabs>
          <w:tab w:val="left" w:pos="714"/>
        </w:tabs>
        <w:spacing w:before="0" w:after="0" w:line="240" w:lineRule="auto"/>
        <w:ind w:left="713" w:right="0" w:hanging="317"/>
        <w:jc w:val="left"/>
        <w:rPr>
          <w:rFonts w:ascii="黑体" w:eastAsia="黑体"/>
          <w:b/>
          <w:bCs/>
          <w:sz w:val="21"/>
        </w:rPr>
      </w:pPr>
      <w:r>
        <w:rPr>
          <w:rFonts w:ascii="黑体" w:eastAsia="黑体"/>
          <w:b/>
          <w:bCs/>
          <w:spacing w:val="-4"/>
          <w:sz w:val="21"/>
        </w:rPr>
        <w:t>服务内容与要求</w:t>
      </w:r>
    </w:p>
    <w:p>
      <w:pPr>
        <w:pStyle w:val="3"/>
        <w:spacing w:before="9"/>
        <w:rPr>
          <w:rFonts w:ascii="黑体"/>
          <w:sz w:val="27"/>
        </w:rPr>
      </w:pPr>
    </w:p>
    <w:p>
      <w:pPr>
        <w:pStyle w:val="10"/>
        <w:numPr>
          <w:ilvl w:val="1"/>
          <w:numId w:val="1"/>
        </w:numPr>
        <w:tabs>
          <w:tab w:val="left" w:pos="924"/>
        </w:tabs>
        <w:spacing w:before="0" w:after="0" w:line="240" w:lineRule="auto"/>
        <w:ind w:left="923" w:right="0" w:hanging="527"/>
        <w:jc w:val="left"/>
        <w:rPr>
          <w:rFonts w:ascii="黑体" w:eastAsia="黑体"/>
          <w:sz w:val="21"/>
        </w:rPr>
      </w:pPr>
      <w:r>
        <w:rPr>
          <w:rFonts w:ascii="黑体" w:eastAsia="黑体"/>
          <w:spacing w:val="-4"/>
          <w:sz w:val="21"/>
        </w:rPr>
        <w:t>场馆营销</w:t>
      </w:r>
    </w:p>
    <w:p>
      <w:pPr>
        <w:pStyle w:val="3"/>
        <w:spacing w:before="6"/>
        <w:rPr>
          <w:rFonts w:ascii="黑体"/>
          <w:sz w:val="15"/>
        </w:rPr>
      </w:pPr>
    </w:p>
    <w:p>
      <w:pPr>
        <w:pStyle w:val="10"/>
        <w:numPr>
          <w:ilvl w:val="2"/>
          <w:numId w:val="1"/>
        </w:numPr>
        <w:tabs>
          <w:tab w:val="left" w:pos="1133"/>
        </w:tabs>
        <w:spacing w:before="1" w:after="0" w:line="240" w:lineRule="auto"/>
        <w:ind w:left="1132" w:right="0" w:hanging="736"/>
        <w:jc w:val="left"/>
        <w:rPr>
          <w:rFonts w:ascii="黑体" w:eastAsia="黑体"/>
          <w:sz w:val="21"/>
        </w:rPr>
      </w:pPr>
      <w:r>
        <w:rPr>
          <w:rFonts w:ascii="黑体" w:eastAsia="黑体"/>
          <w:spacing w:val="-4"/>
          <w:sz w:val="21"/>
        </w:rPr>
        <w:t>资质审查</w:t>
      </w:r>
    </w:p>
    <w:p>
      <w:pPr>
        <w:pStyle w:val="3"/>
        <w:spacing w:before="6"/>
        <w:rPr>
          <w:rFonts w:ascii="黑体"/>
          <w:sz w:val="15"/>
        </w:rPr>
      </w:pPr>
    </w:p>
    <w:p>
      <w:pPr>
        <w:pStyle w:val="3"/>
        <w:ind w:left="817"/>
      </w:pPr>
      <w:r>
        <w:t>在展会申办时，应审查展会主（承）</w:t>
      </w:r>
      <w:r>
        <w:rPr>
          <w:spacing w:val="-2"/>
        </w:rPr>
        <w:t>办方提供的资质：</w:t>
      </w:r>
    </w:p>
    <w:p>
      <w:pPr>
        <w:pStyle w:val="10"/>
        <w:numPr>
          <w:ilvl w:val="3"/>
          <w:numId w:val="1"/>
        </w:numPr>
        <w:tabs>
          <w:tab w:val="left" w:pos="1236"/>
        </w:tabs>
        <w:spacing w:before="43" w:after="0" w:line="240" w:lineRule="auto"/>
        <w:ind w:left="1236" w:right="0" w:hanging="419"/>
        <w:jc w:val="left"/>
        <w:rPr>
          <w:sz w:val="21"/>
        </w:rPr>
      </w:pPr>
      <w:r>
        <w:rPr>
          <w:spacing w:val="-1"/>
          <w:sz w:val="21"/>
        </w:rPr>
        <w:t>有效营业执照及法定代表人身份证件；</w:t>
      </w:r>
    </w:p>
    <w:p>
      <w:pPr>
        <w:pStyle w:val="10"/>
        <w:numPr>
          <w:ilvl w:val="3"/>
          <w:numId w:val="1"/>
        </w:numPr>
        <w:tabs>
          <w:tab w:val="left" w:pos="1238"/>
        </w:tabs>
        <w:spacing w:before="43" w:after="0" w:line="240" w:lineRule="auto"/>
        <w:ind w:left="1237" w:right="0" w:hanging="421"/>
        <w:jc w:val="left"/>
        <w:rPr>
          <w:sz w:val="21"/>
        </w:rPr>
      </w:pPr>
      <w:r>
        <w:rPr>
          <w:sz w:val="21"/>
        </w:rPr>
        <w:t>展会组织策划方案（含展位图、宣传方案、招商方案</w:t>
      </w:r>
      <w:r>
        <w:rPr>
          <w:spacing w:val="-5"/>
          <w:sz w:val="21"/>
        </w:rPr>
        <w:t>）；</w:t>
      </w:r>
    </w:p>
    <w:p>
      <w:pPr>
        <w:pStyle w:val="10"/>
        <w:numPr>
          <w:ilvl w:val="3"/>
          <w:numId w:val="1"/>
        </w:numPr>
        <w:tabs>
          <w:tab w:val="left" w:pos="1236"/>
        </w:tabs>
        <w:spacing w:before="43" w:after="0" w:line="240" w:lineRule="auto"/>
        <w:ind w:left="1236" w:right="0" w:hanging="419"/>
        <w:jc w:val="left"/>
        <w:rPr>
          <w:sz w:val="21"/>
        </w:rPr>
      </w:pPr>
      <w:r>
        <w:rPr>
          <w:spacing w:val="-1"/>
          <w:sz w:val="21"/>
        </w:rPr>
        <w:t>公安机关安全许可文件；</w:t>
      </w:r>
    </w:p>
    <w:p>
      <w:pPr>
        <w:pStyle w:val="10"/>
        <w:numPr>
          <w:ilvl w:val="3"/>
          <w:numId w:val="1"/>
        </w:numPr>
        <w:tabs>
          <w:tab w:val="left" w:pos="1236"/>
        </w:tabs>
        <w:spacing w:before="43" w:after="0" w:line="240" w:lineRule="auto"/>
        <w:ind w:left="1236" w:right="0" w:hanging="419"/>
        <w:jc w:val="left"/>
        <w:rPr>
          <w:sz w:val="21"/>
        </w:rPr>
      </w:pPr>
      <w:r>
        <w:rPr>
          <w:spacing w:val="-2"/>
          <w:sz w:val="21"/>
        </w:rPr>
        <w:t>其他审批文件。</w:t>
      </w:r>
    </w:p>
    <w:p>
      <w:pPr>
        <w:pStyle w:val="3"/>
        <w:spacing w:before="4"/>
        <w:rPr>
          <w:sz w:val="19"/>
        </w:rPr>
      </w:pPr>
    </w:p>
    <w:p>
      <w:pPr>
        <w:spacing w:before="75"/>
        <w:ind w:left="0" w:right="1329" w:firstLine="0"/>
        <w:jc w:val="right"/>
        <w:rPr>
          <w:sz w:val="18"/>
        </w:rPr>
      </w:pPr>
      <w:r>
        <w:rPr>
          <w:sz w:val="18"/>
        </w:rPr>
        <w:t>3</w:t>
      </w:r>
    </w:p>
    <w:p>
      <w:pPr>
        <w:spacing w:after="0"/>
        <w:jc w:val="right"/>
        <w:rPr>
          <w:sz w:val="18"/>
        </w:rPr>
        <w:sectPr>
          <w:pgSz w:w="11910" w:h="16840"/>
          <w:pgMar w:top="1660" w:right="0" w:bottom="280" w:left="1020" w:header="1442" w:footer="0" w:gutter="0"/>
          <w:cols w:space="720" w:num="1"/>
        </w:sectPr>
      </w:pPr>
    </w:p>
    <w:p>
      <w:pPr>
        <w:pStyle w:val="3"/>
        <w:spacing w:before="7"/>
        <w:rPr>
          <w:sz w:val="14"/>
        </w:rPr>
      </w:pPr>
    </w:p>
    <w:p>
      <w:pPr>
        <w:pStyle w:val="10"/>
        <w:numPr>
          <w:ilvl w:val="2"/>
          <w:numId w:val="1"/>
        </w:numPr>
        <w:tabs>
          <w:tab w:val="left" w:pos="850"/>
        </w:tabs>
        <w:spacing w:before="70" w:after="0" w:line="240" w:lineRule="auto"/>
        <w:ind w:left="849" w:right="0" w:hanging="736"/>
        <w:jc w:val="left"/>
        <w:rPr>
          <w:rFonts w:ascii="黑体" w:eastAsia="黑体"/>
          <w:sz w:val="21"/>
        </w:rPr>
      </w:pPr>
      <w:r>
        <w:rPr>
          <w:rFonts w:ascii="黑体" w:eastAsia="黑体"/>
          <w:spacing w:val="-4"/>
          <w:sz w:val="21"/>
        </w:rPr>
        <w:t>展会预订</w:t>
      </w:r>
    </w:p>
    <w:p>
      <w:pPr>
        <w:pStyle w:val="3"/>
        <w:spacing w:before="7"/>
        <w:rPr>
          <w:rFonts w:ascii="黑体"/>
          <w:sz w:val="15"/>
        </w:rPr>
      </w:pPr>
    </w:p>
    <w:p>
      <w:pPr>
        <w:pStyle w:val="10"/>
        <w:numPr>
          <w:ilvl w:val="3"/>
          <w:numId w:val="4"/>
        </w:numPr>
        <w:tabs>
          <w:tab w:val="left" w:pos="1060"/>
        </w:tabs>
        <w:spacing w:before="0" w:after="0" w:line="278" w:lineRule="auto"/>
        <w:ind w:left="114" w:right="1422" w:firstLine="0"/>
        <w:jc w:val="both"/>
        <w:rPr>
          <w:sz w:val="21"/>
        </w:rPr>
      </w:pPr>
      <w:r>
        <w:rPr>
          <w:spacing w:val="-2"/>
          <w:sz w:val="21"/>
        </w:rPr>
        <w:t>与客户洽谈沟通，提供《展览场馆服务指南》，包括但不限于场馆平面示意图、展览场馆设施介绍、展览场馆使用规定、展览场馆周边配套服务、收费标准、合同范本等。</w:t>
      </w:r>
    </w:p>
    <w:p>
      <w:pPr>
        <w:pStyle w:val="10"/>
        <w:numPr>
          <w:ilvl w:val="3"/>
          <w:numId w:val="4"/>
        </w:numPr>
        <w:tabs>
          <w:tab w:val="left" w:pos="1060"/>
        </w:tabs>
        <w:spacing w:before="0" w:after="0" w:line="269" w:lineRule="exact"/>
        <w:ind w:left="1059" w:right="0" w:hanging="946"/>
        <w:jc w:val="left"/>
        <w:rPr>
          <w:sz w:val="21"/>
        </w:rPr>
      </w:pPr>
      <w:r>
        <w:rPr>
          <w:spacing w:val="-1"/>
          <w:sz w:val="21"/>
        </w:rPr>
        <w:t>按照客户意向确定展会档期及场地安排。</w:t>
      </w:r>
    </w:p>
    <w:p>
      <w:pPr>
        <w:pStyle w:val="3"/>
        <w:spacing w:before="7"/>
        <w:rPr>
          <w:sz w:val="15"/>
        </w:rPr>
      </w:pPr>
    </w:p>
    <w:p>
      <w:pPr>
        <w:pStyle w:val="10"/>
        <w:numPr>
          <w:ilvl w:val="2"/>
          <w:numId w:val="1"/>
        </w:numPr>
        <w:tabs>
          <w:tab w:val="left" w:pos="850"/>
        </w:tabs>
        <w:spacing w:before="0" w:after="0" w:line="240" w:lineRule="auto"/>
        <w:ind w:left="849" w:right="0" w:hanging="736"/>
        <w:jc w:val="left"/>
        <w:rPr>
          <w:rFonts w:ascii="黑体" w:eastAsia="黑体"/>
          <w:sz w:val="21"/>
        </w:rPr>
      </w:pPr>
      <w:r>
        <w:rPr>
          <w:rFonts w:ascii="黑体" w:eastAsia="黑体"/>
          <w:spacing w:val="-4"/>
          <w:sz w:val="21"/>
        </w:rPr>
        <w:t>合同签订</w:t>
      </w:r>
    </w:p>
    <w:p>
      <w:pPr>
        <w:pStyle w:val="3"/>
        <w:spacing w:before="6"/>
        <w:rPr>
          <w:rFonts w:ascii="黑体"/>
          <w:sz w:val="15"/>
        </w:rPr>
      </w:pPr>
    </w:p>
    <w:p>
      <w:pPr>
        <w:pStyle w:val="3"/>
        <w:spacing w:before="1"/>
        <w:ind w:left="534"/>
      </w:pPr>
      <w:r>
        <w:rPr>
          <w:spacing w:val="-1"/>
        </w:rPr>
        <w:t>依据展会预订情况，签订展会服务合同，并按规定签订治安、消防、施工安全责任书。</w:t>
      </w:r>
    </w:p>
    <w:p>
      <w:pPr>
        <w:pStyle w:val="3"/>
        <w:spacing w:before="6"/>
        <w:rPr>
          <w:sz w:val="15"/>
        </w:rPr>
      </w:pPr>
    </w:p>
    <w:p>
      <w:pPr>
        <w:pStyle w:val="10"/>
        <w:numPr>
          <w:ilvl w:val="1"/>
          <w:numId w:val="5"/>
        </w:numPr>
        <w:tabs>
          <w:tab w:val="left" w:pos="640"/>
        </w:tabs>
        <w:spacing w:before="0" w:after="0" w:line="240" w:lineRule="auto"/>
        <w:ind w:left="639" w:right="0" w:hanging="526"/>
        <w:jc w:val="left"/>
        <w:rPr>
          <w:rFonts w:ascii="黑体" w:eastAsia="黑体"/>
          <w:sz w:val="21"/>
        </w:rPr>
      </w:pPr>
      <w:r>
        <w:rPr>
          <w:rFonts w:ascii="黑体" w:eastAsia="黑体"/>
          <w:spacing w:val="-4"/>
          <w:sz w:val="21"/>
        </w:rPr>
        <w:t>展前筹备</w:t>
      </w:r>
    </w:p>
    <w:p>
      <w:pPr>
        <w:pStyle w:val="3"/>
        <w:spacing w:before="7"/>
        <w:rPr>
          <w:rFonts w:ascii="黑体"/>
          <w:sz w:val="15"/>
        </w:rPr>
      </w:pPr>
    </w:p>
    <w:p>
      <w:pPr>
        <w:pStyle w:val="10"/>
        <w:numPr>
          <w:ilvl w:val="2"/>
          <w:numId w:val="5"/>
        </w:numPr>
        <w:tabs>
          <w:tab w:val="left" w:pos="850"/>
        </w:tabs>
        <w:spacing w:before="0" w:after="0" w:line="278" w:lineRule="auto"/>
        <w:ind w:left="114" w:right="1422" w:firstLine="0"/>
        <w:jc w:val="both"/>
        <w:rPr>
          <w:sz w:val="21"/>
        </w:rPr>
      </w:pPr>
      <w:r>
        <w:rPr>
          <w:spacing w:val="-2"/>
          <w:sz w:val="21"/>
        </w:rPr>
        <w:t>充分了解主（承）办单位的相关活动信息及需求，提供往期展览场馆活动数据和信息，为展会策划方案提供参考意见，协助其制定《参展商手册》。</w:t>
      </w:r>
    </w:p>
    <w:p>
      <w:pPr>
        <w:pStyle w:val="10"/>
        <w:numPr>
          <w:ilvl w:val="2"/>
          <w:numId w:val="5"/>
        </w:numPr>
        <w:tabs>
          <w:tab w:val="left" w:pos="850"/>
        </w:tabs>
        <w:spacing w:before="0" w:after="0" w:line="278" w:lineRule="auto"/>
        <w:ind w:left="114" w:right="1414" w:firstLine="0"/>
        <w:jc w:val="both"/>
        <w:rPr>
          <w:sz w:val="21"/>
        </w:rPr>
      </w:pPr>
      <w:r>
        <w:rPr>
          <w:spacing w:val="-2"/>
          <w:sz w:val="21"/>
        </w:rPr>
        <w:t>组织相关部门与主（承）办单位及服务商召开展前协调会，明确项目负责人，制定展会服务方</w:t>
      </w:r>
      <w:r>
        <w:rPr>
          <w:spacing w:val="-4"/>
          <w:sz w:val="21"/>
        </w:rPr>
        <w:t>案，方案内容包括但不限于展会基本信息、工作人员联络表、各项服务工作计划、安全应急预案、展会</w:t>
      </w:r>
      <w:r>
        <w:rPr>
          <w:spacing w:val="-2"/>
          <w:sz w:val="21"/>
        </w:rPr>
        <w:t>防疫预案。</w:t>
      </w:r>
    </w:p>
    <w:p>
      <w:pPr>
        <w:pStyle w:val="10"/>
        <w:numPr>
          <w:ilvl w:val="2"/>
          <w:numId w:val="5"/>
        </w:numPr>
        <w:tabs>
          <w:tab w:val="left" w:pos="850"/>
        </w:tabs>
        <w:spacing w:before="0" w:after="0" w:line="278" w:lineRule="auto"/>
        <w:ind w:left="114" w:right="1422" w:firstLine="0"/>
        <w:jc w:val="both"/>
        <w:rPr>
          <w:sz w:val="21"/>
        </w:rPr>
      </w:pPr>
      <w:r>
        <w:rPr>
          <w:spacing w:val="-2"/>
          <w:sz w:val="21"/>
        </w:rPr>
        <w:t>组织相关部门召开内部协调会，按服务工作计划准备场地，落实主（承）办单位进场、施工单位进场时应提供的各项服务保障事宜。</w:t>
      </w:r>
    </w:p>
    <w:p>
      <w:pPr>
        <w:pStyle w:val="10"/>
        <w:numPr>
          <w:ilvl w:val="1"/>
          <w:numId w:val="5"/>
        </w:numPr>
        <w:tabs>
          <w:tab w:val="left" w:pos="640"/>
        </w:tabs>
        <w:spacing w:before="155" w:after="0" w:line="240" w:lineRule="auto"/>
        <w:ind w:left="639" w:right="0" w:hanging="526"/>
        <w:jc w:val="left"/>
        <w:rPr>
          <w:rFonts w:ascii="黑体" w:eastAsia="黑体"/>
          <w:sz w:val="21"/>
        </w:rPr>
      </w:pPr>
      <w:r>
        <w:rPr>
          <w:rFonts w:ascii="黑体" w:eastAsia="黑体"/>
          <w:spacing w:val="-4"/>
          <w:sz w:val="21"/>
        </w:rPr>
        <w:t>工程管理</w:t>
      </w:r>
    </w:p>
    <w:p>
      <w:pPr>
        <w:pStyle w:val="3"/>
        <w:spacing w:before="7"/>
        <w:rPr>
          <w:rFonts w:ascii="黑体"/>
          <w:sz w:val="15"/>
        </w:rPr>
      </w:pPr>
    </w:p>
    <w:p>
      <w:pPr>
        <w:pStyle w:val="10"/>
        <w:numPr>
          <w:ilvl w:val="2"/>
          <w:numId w:val="5"/>
        </w:numPr>
        <w:tabs>
          <w:tab w:val="left" w:pos="850"/>
        </w:tabs>
        <w:spacing w:before="0" w:after="0" w:line="240" w:lineRule="auto"/>
        <w:ind w:left="849" w:right="0" w:hanging="736"/>
        <w:jc w:val="left"/>
        <w:rPr>
          <w:sz w:val="21"/>
        </w:rPr>
      </w:pPr>
      <w:r>
        <w:rPr>
          <w:spacing w:val="-1"/>
          <w:sz w:val="21"/>
        </w:rPr>
        <w:t>审核或配合审核展览工程设计方、施工方的资质，与施工方签订施工安全责任书。</w:t>
      </w:r>
    </w:p>
    <w:p>
      <w:pPr>
        <w:pStyle w:val="10"/>
        <w:numPr>
          <w:ilvl w:val="2"/>
          <w:numId w:val="5"/>
        </w:numPr>
        <w:tabs>
          <w:tab w:val="left" w:pos="850"/>
        </w:tabs>
        <w:spacing w:before="43" w:after="0" w:line="240" w:lineRule="auto"/>
        <w:ind w:left="849" w:right="0" w:hanging="736"/>
        <w:jc w:val="left"/>
        <w:rPr>
          <w:sz w:val="21"/>
        </w:rPr>
      </w:pPr>
      <w:r>
        <w:rPr>
          <w:spacing w:val="-1"/>
          <w:sz w:val="21"/>
        </w:rPr>
        <w:t>审查或配合审查展位结构、材料、水电气使用需求等项目，审查合格后发放施工证。</w:t>
      </w:r>
    </w:p>
    <w:p>
      <w:pPr>
        <w:pStyle w:val="10"/>
        <w:numPr>
          <w:ilvl w:val="2"/>
          <w:numId w:val="5"/>
        </w:numPr>
        <w:tabs>
          <w:tab w:val="left" w:pos="850"/>
        </w:tabs>
        <w:spacing w:before="43" w:after="0" w:line="278" w:lineRule="auto"/>
        <w:ind w:left="114" w:right="1308" w:firstLine="0"/>
        <w:jc w:val="left"/>
        <w:rPr>
          <w:sz w:val="21"/>
        </w:rPr>
      </w:pPr>
      <w:r>
        <w:rPr>
          <w:spacing w:val="-4"/>
          <w:sz w:val="21"/>
        </w:rPr>
        <w:t>提供包括但不限于以下工程服务：展位画线、地毯铺设、展位搭建协调、现场施工管理和验收、</w:t>
      </w:r>
      <w:r>
        <w:rPr>
          <w:spacing w:val="-2"/>
          <w:sz w:val="21"/>
        </w:rPr>
        <w:t>水电气接驳口的预留。</w:t>
      </w:r>
    </w:p>
    <w:p>
      <w:pPr>
        <w:pStyle w:val="10"/>
        <w:numPr>
          <w:ilvl w:val="2"/>
          <w:numId w:val="5"/>
        </w:numPr>
        <w:tabs>
          <w:tab w:val="left" w:pos="850"/>
        </w:tabs>
        <w:spacing w:before="0" w:after="0" w:line="278" w:lineRule="auto"/>
        <w:ind w:left="114" w:right="1422" w:firstLine="0"/>
        <w:jc w:val="left"/>
        <w:rPr>
          <w:sz w:val="21"/>
        </w:rPr>
      </w:pPr>
      <w:r>
        <w:rPr>
          <w:spacing w:val="-2"/>
          <w:sz w:val="21"/>
        </w:rPr>
        <w:t>对布展工程实施过程的安全、消防、作业规范和出入人员进行全程监督，对违规情况进行整改</w:t>
      </w:r>
      <w:r>
        <w:rPr>
          <w:spacing w:val="-4"/>
          <w:sz w:val="21"/>
        </w:rPr>
        <w:t>跟踪。</w:t>
      </w:r>
    </w:p>
    <w:p>
      <w:pPr>
        <w:pStyle w:val="10"/>
        <w:numPr>
          <w:ilvl w:val="1"/>
          <w:numId w:val="5"/>
        </w:numPr>
        <w:tabs>
          <w:tab w:val="left" w:pos="640"/>
        </w:tabs>
        <w:spacing w:before="155" w:after="0" w:line="240" w:lineRule="auto"/>
        <w:ind w:left="639" w:right="0" w:hanging="526"/>
        <w:jc w:val="left"/>
        <w:rPr>
          <w:rFonts w:ascii="黑体" w:eastAsia="黑体"/>
          <w:sz w:val="21"/>
        </w:rPr>
      </w:pPr>
      <w:r>
        <w:rPr>
          <w:rFonts w:ascii="黑体" w:eastAsia="黑体"/>
          <w:spacing w:val="-4"/>
          <w:sz w:val="21"/>
        </w:rPr>
        <w:t>展期管理</w:t>
      </w:r>
    </w:p>
    <w:p>
      <w:pPr>
        <w:pStyle w:val="3"/>
        <w:spacing w:before="7"/>
        <w:rPr>
          <w:rFonts w:ascii="黑体"/>
          <w:sz w:val="15"/>
        </w:rPr>
      </w:pPr>
    </w:p>
    <w:p>
      <w:pPr>
        <w:pStyle w:val="10"/>
        <w:numPr>
          <w:ilvl w:val="2"/>
          <w:numId w:val="5"/>
        </w:numPr>
        <w:tabs>
          <w:tab w:val="left" w:pos="850"/>
        </w:tabs>
        <w:spacing w:before="0" w:after="0" w:line="278" w:lineRule="auto"/>
        <w:ind w:left="114" w:right="1422" w:firstLine="0"/>
        <w:jc w:val="left"/>
        <w:rPr>
          <w:sz w:val="21"/>
        </w:rPr>
      </w:pPr>
      <w:r>
        <w:rPr>
          <w:spacing w:val="-2"/>
          <w:sz w:val="21"/>
        </w:rPr>
        <w:t>开馆前，应进行全面巡查，按照与主（承）办单位约定的时间和程序，按时接通水电气源，确保现场各环节准备就绪。</w:t>
      </w:r>
    </w:p>
    <w:p>
      <w:pPr>
        <w:pStyle w:val="10"/>
        <w:numPr>
          <w:ilvl w:val="2"/>
          <w:numId w:val="5"/>
        </w:numPr>
        <w:tabs>
          <w:tab w:val="left" w:pos="850"/>
        </w:tabs>
        <w:spacing w:before="0" w:after="0" w:line="278" w:lineRule="auto"/>
        <w:ind w:left="114" w:right="1422" w:firstLine="0"/>
        <w:jc w:val="left"/>
        <w:rPr>
          <w:sz w:val="21"/>
        </w:rPr>
      </w:pPr>
      <w:r>
        <w:rPr>
          <w:spacing w:val="-2"/>
          <w:sz w:val="21"/>
        </w:rPr>
        <w:t>协调展会开幕式环节中的相关事宜。协助主（承）办单位控制观展路线、人流量，处理突发事件，保证展会现场安全有序。做好展会现场的沟通、协调和记录工作。</w:t>
      </w:r>
    </w:p>
    <w:p>
      <w:pPr>
        <w:pStyle w:val="10"/>
        <w:numPr>
          <w:ilvl w:val="2"/>
          <w:numId w:val="5"/>
        </w:numPr>
        <w:tabs>
          <w:tab w:val="left" w:pos="850"/>
        </w:tabs>
        <w:spacing w:before="0" w:after="0" w:line="278" w:lineRule="auto"/>
        <w:ind w:left="114" w:right="1422" w:firstLine="0"/>
        <w:jc w:val="left"/>
        <w:rPr>
          <w:sz w:val="21"/>
        </w:rPr>
      </w:pPr>
      <w:r>
        <w:rPr>
          <w:spacing w:val="-2"/>
          <w:sz w:val="21"/>
        </w:rPr>
        <w:t>开展期间应对展位及设备、广告配重、消防通道、占道经营、环境卫生、馆内吸烟等情况进行重点巡查。</w:t>
      </w:r>
    </w:p>
    <w:p>
      <w:pPr>
        <w:pStyle w:val="10"/>
        <w:numPr>
          <w:ilvl w:val="2"/>
          <w:numId w:val="5"/>
        </w:numPr>
        <w:tabs>
          <w:tab w:val="left" w:pos="850"/>
        </w:tabs>
        <w:spacing w:before="0" w:after="0" w:line="269" w:lineRule="exact"/>
        <w:ind w:left="849" w:right="0" w:hanging="736"/>
        <w:jc w:val="left"/>
        <w:rPr>
          <w:sz w:val="21"/>
        </w:rPr>
      </w:pPr>
      <w:r>
        <w:rPr>
          <w:spacing w:val="-5"/>
          <w:sz w:val="21"/>
        </w:rPr>
        <w:t>闭馆前，应在确保安全的前提下，切断水电气源，锁闭安全门及通道，并保证展会夜间的安全。</w:t>
      </w:r>
    </w:p>
    <w:p>
      <w:pPr>
        <w:pStyle w:val="3"/>
        <w:spacing w:before="6"/>
        <w:rPr>
          <w:sz w:val="15"/>
        </w:rPr>
      </w:pPr>
    </w:p>
    <w:p>
      <w:pPr>
        <w:pStyle w:val="10"/>
        <w:numPr>
          <w:ilvl w:val="1"/>
          <w:numId w:val="5"/>
        </w:numPr>
        <w:tabs>
          <w:tab w:val="left" w:pos="640"/>
        </w:tabs>
        <w:spacing w:before="1" w:after="0" w:line="240" w:lineRule="auto"/>
        <w:ind w:left="639" w:right="0" w:hanging="527"/>
        <w:jc w:val="left"/>
        <w:rPr>
          <w:rFonts w:ascii="黑体" w:eastAsia="黑体"/>
          <w:sz w:val="21"/>
        </w:rPr>
      </w:pPr>
      <w:r>
        <w:rPr>
          <w:rFonts w:ascii="黑体" w:eastAsia="黑体"/>
          <w:spacing w:val="-4"/>
          <w:sz w:val="21"/>
        </w:rPr>
        <w:t>撤展管理</w:t>
      </w:r>
    </w:p>
    <w:p>
      <w:pPr>
        <w:pStyle w:val="3"/>
        <w:spacing w:before="6"/>
        <w:rPr>
          <w:rFonts w:ascii="黑体"/>
          <w:sz w:val="15"/>
        </w:rPr>
      </w:pPr>
    </w:p>
    <w:p>
      <w:pPr>
        <w:pStyle w:val="10"/>
        <w:numPr>
          <w:ilvl w:val="2"/>
          <w:numId w:val="5"/>
        </w:numPr>
        <w:tabs>
          <w:tab w:val="left" w:pos="850"/>
        </w:tabs>
        <w:spacing w:before="0" w:after="0" w:line="278" w:lineRule="auto"/>
        <w:ind w:left="113" w:right="1422" w:firstLine="0"/>
        <w:jc w:val="left"/>
        <w:rPr>
          <w:sz w:val="21"/>
        </w:rPr>
      </w:pPr>
      <w:r>
        <w:rPr>
          <w:spacing w:val="-2"/>
          <w:sz w:val="21"/>
        </w:rPr>
        <w:t>及时与主（承）办单位对接撤展信息，包含但不限于撤展时间、车辆路线、展位拆除、租用物品退还等。</w:t>
      </w:r>
    </w:p>
    <w:p>
      <w:pPr>
        <w:pStyle w:val="10"/>
        <w:numPr>
          <w:ilvl w:val="2"/>
          <w:numId w:val="5"/>
        </w:numPr>
        <w:tabs>
          <w:tab w:val="left" w:pos="850"/>
        </w:tabs>
        <w:spacing w:before="0" w:after="0" w:line="269" w:lineRule="exact"/>
        <w:ind w:left="849" w:right="0" w:hanging="737"/>
        <w:jc w:val="left"/>
        <w:rPr>
          <w:sz w:val="21"/>
        </w:rPr>
      </w:pPr>
      <w:r>
        <w:rPr>
          <w:sz w:val="21"/>
        </w:rPr>
        <w:t>协助主（承）</w:t>
      </w:r>
      <w:r>
        <w:rPr>
          <w:spacing w:val="-1"/>
          <w:sz w:val="21"/>
        </w:rPr>
        <w:t>办单位完成参展商物资回运。</w:t>
      </w:r>
    </w:p>
    <w:p>
      <w:pPr>
        <w:pStyle w:val="10"/>
        <w:numPr>
          <w:ilvl w:val="2"/>
          <w:numId w:val="5"/>
        </w:numPr>
        <w:tabs>
          <w:tab w:val="left" w:pos="850"/>
        </w:tabs>
        <w:spacing w:before="43" w:after="0" w:line="240" w:lineRule="auto"/>
        <w:ind w:left="849" w:right="0" w:hanging="737"/>
        <w:jc w:val="left"/>
        <w:rPr>
          <w:sz w:val="21"/>
        </w:rPr>
      </w:pPr>
      <w:r>
        <w:rPr>
          <w:spacing w:val="-1"/>
          <w:sz w:val="21"/>
        </w:rPr>
        <w:t>检查布展工程施工方展位拆除施工及用电安全等情况。</w:t>
      </w:r>
    </w:p>
    <w:p>
      <w:pPr>
        <w:pStyle w:val="10"/>
        <w:numPr>
          <w:ilvl w:val="2"/>
          <w:numId w:val="5"/>
        </w:numPr>
        <w:tabs>
          <w:tab w:val="left" w:pos="850"/>
        </w:tabs>
        <w:spacing w:before="43" w:after="0" w:line="240" w:lineRule="auto"/>
        <w:ind w:left="849" w:right="0" w:hanging="737"/>
        <w:jc w:val="left"/>
        <w:rPr>
          <w:sz w:val="21"/>
        </w:rPr>
      </w:pPr>
      <w:r>
        <w:rPr>
          <w:spacing w:val="-2"/>
          <w:sz w:val="21"/>
        </w:rPr>
        <w:t>撤展完成后与主（承）</w:t>
      </w:r>
      <w:r>
        <w:rPr>
          <w:spacing w:val="-3"/>
          <w:sz w:val="21"/>
        </w:rPr>
        <w:t>办单位检查并验收场地。</w:t>
      </w:r>
    </w:p>
    <w:p>
      <w:pPr>
        <w:pStyle w:val="10"/>
        <w:numPr>
          <w:ilvl w:val="2"/>
          <w:numId w:val="5"/>
        </w:numPr>
        <w:tabs>
          <w:tab w:val="left" w:pos="850"/>
        </w:tabs>
        <w:spacing w:before="43" w:after="0" w:line="240" w:lineRule="auto"/>
        <w:ind w:left="849" w:right="0" w:hanging="737"/>
        <w:jc w:val="left"/>
        <w:rPr>
          <w:sz w:val="21"/>
        </w:rPr>
      </w:pPr>
      <w:r>
        <w:rPr>
          <w:spacing w:val="-2"/>
          <w:sz w:val="21"/>
        </w:rPr>
        <w:t>履行合同结算工作。</w:t>
      </w:r>
    </w:p>
    <w:p>
      <w:pPr>
        <w:pStyle w:val="3"/>
        <w:rPr>
          <w:sz w:val="20"/>
        </w:rPr>
      </w:pPr>
    </w:p>
    <w:p>
      <w:pPr>
        <w:pStyle w:val="3"/>
        <w:spacing w:before="9"/>
        <w:rPr>
          <w:sz w:val="23"/>
        </w:rPr>
      </w:pPr>
    </w:p>
    <w:p>
      <w:pPr>
        <w:spacing w:before="75"/>
        <w:ind w:left="334" w:right="0" w:firstLine="0"/>
        <w:jc w:val="left"/>
        <w:rPr>
          <w:sz w:val="18"/>
        </w:rPr>
      </w:pPr>
      <w:r>
        <w:rPr>
          <w:sz w:val="18"/>
        </w:rPr>
        <w:t>4</w:t>
      </w:r>
    </w:p>
    <w:p>
      <w:pPr>
        <w:spacing w:after="0"/>
        <w:jc w:val="left"/>
        <w:rPr>
          <w:sz w:val="18"/>
        </w:rPr>
        <w:sectPr>
          <w:pgSz w:w="11910" w:h="16840"/>
          <w:pgMar w:top="1660" w:right="0" w:bottom="280" w:left="1020" w:header="1442" w:footer="0" w:gutter="0"/>
          <w:cols w:space="720" w:num="1"/>
        </w:sectPr>
      </w:pPr>
    </w:p>
    <w:p>
      <w:pPr>
        <w:pStyle w:val="3"/>
        <w:spacing w:before="7"/>
        <w:rPr>
          <w:sz w:val="14"/>
        </w:rPr>
      </w:pPr>
    </w:p>
    <w:p>
      <w:pPr>
        <w:pStyle w:val="10"/>
        <w:numPr>
          <w:ilvl w:val="1"/>
          <w:numId w:val="5"/>
        </w:numPr>
        <w:tabs>
          <w:tab w:val="left" w:pos="924"/>
        </w:tabs>
        <w:spacing w:before="70" w:after="0" w:line="240" w:lineRule="auto"/>
        <w:ind w:left="923" w:right="0" w:hanging="527"/>
        <w:jc w:val="left"/>
        <w:rPr>
          <w:rFonts w:ascii="黑体" w:eastAsia="黑体"/>
          <w:sz w:val="21"/>
        </w:rPr>
      </w:pPr>
      <w:r>
        <w:rPr>
          <w:rFonts w:ascii="黑体" w:eastAsia="黑体"/>
          <w:spacing w:val="-4"/>
          <w:sz w:val="21"/>
        </w:rPr>
        <w:t>交通管理</w:t>
      </w:r>
    </w:p>
    <w:p>
      <w:pPr>
        <w:pStyle w:val="3"/>
        <w:spacing w:before="7"/>
        <w:rPr>
          <w:rFonts w:ascii="黑体"/>
          <w:sz w:val="15"/>
        </w:rPr>
      </w:pPr>
    </w:p>
    <w:p>
      <w:pPr>
        <w:pStyle w:val="10"/>
        <w:numPr>
          <w:ilvl w:val="2"/>
          <w:numId w:val="5"/>
        </w:numPr>
        <w:tabs>
          <w:tab w:val="left" w:pos="1133"/>
        </w:tabs>
        <w:spacing w:before="0" w:after="0" w:line="278" w:lineRule="auto"/>
        <w:ind w:left="397" w:right="1130" w:firstLine="0"/>
        <w:jc w:val="both"/>
        <w:rPr>
          <w:sz w:val="21"/>
        </w:rPr>
      </w:pPr>
      <w:r>
        <w:rPr>
          <w:spacing w:val="-4"/>
          <w:sz w:val="21"/>
        </w:rPr>
        <w:t>根据展览场所设施条件、展会规模、 展品性质和主</w:t>
      </w:r>
      <w:r>
        <w:rPr>
          <w:spacing w:val="-2"/>
          <w:sz w:val="21"/>
        </w:rPr>
        <w:t>（承）办单位需求，对展览场馆内部交通路</w:t>
      </w:r>
      <w:r>
        <w:rPr>
          <w:spacing w:val="-4"/>
          <w:sz w:val="21"/>
        </w:rPr>
        <w:t>线和交通状况进行统筹管理，包括但不限于设定各类车辆进出馆时间、进出馆路线、作业区域、停放区</w:t>
      </w:r>
      <w:r>
        <w:rPr>
          <w:spacing w:val="-2"/>
          <w:sz w:val="21"/>
        </w:rPr>
        <w:t>域和允许停留时间等，并进行现场指挥疏导。</w:t>
      </w:r>
    </w:p>
    <w:p>
      <w:pPr>
        <w:pStyle w:val="10"/>
        <w:numPr>
          <w:ilvl w:val="2"/>
          <w:numId w:val="5"/>
        </w:numPr>
        <w:tabs>
          <w:tab w:val="left" w:pos="1133"/>
        </w:tabs>
        <w:spacing w:before="0" w:after="0" w:line="269" w:lineRule="exact"/>
        <w:ind w:left="1132" w:right="0" w:hanging="736"/>
        <w:jc w:val="both"/>
        <w:rPr>
          <w:sz w:val="21"/>
        </w:rPr>
      </w:pPr>
      <w:r>
        <w:rPr>
          <w:sz w:val="21"/>
        </w:rPr>
        <w:t>协助展会主（承）</w:t>
      </w:r>
      <w:r>
        <w:rPr>
          <w:spacing w:val="-1"/>
          <w:sz w:val="21"/>
        </w:rPr>
        <w:t>办单位统一制作、发放、核验“车辆通行证”。</w:t>
      </w:r>
    </w:p>
    <w:p>
      <w:pPr>
        <w:pStyle w:val="10"/>
        <w:numPr>
          <w:ilvl w:val="2"/>
          <w:numId w:val="5"/>
        </w:numPr>
        <w:tabs>
          <w:tab w:val="left" w:pos="1133"/>
        </w:tabs>
        <w:spacing w:before="43" w:after="0" w:line="240" w:lineRule="auto"/>
        <w:ind w:left="1132" w:right="0" w:hanging="736"/>
        <w:jc w:val="left"/>
        <w:rPr>
          <w:sz w:val="21"/>
        </w:rPr>
      </w:pPr>
      <w:r>
        <w:rPr>
          <w:spacing w:val="-1"/>
          <w:sz w:val="21"/>
        </w:rPr>
        <w:t>配合交通管理部门，对布展和撤展期间展览场所周边交通路线和交通状况进行协调管理。</w:t>
      </w:r>
    </w:p>
    <w:p>
      <w:pPr>
        <w:pStyle w:val="10"/>
        <w:numPr>
          <w:ilvl w:val="2"/>
          <w:numId w:val="5"/>
        </w:numPr>
        <w:tabs>
          <w:tab w:val="left" w:pos="1133"/>
        </w:tabs>
        <w:spacing w:before="43" w:after="0" w:line="240" w:lineRule="auto"/>
        <w:ind w:left="1132" w:right="0" w:hanging="736"/>
        <w:jc w:val="left"/>
        <w:rPr>
          <w:sz w:val="21"/>
        </w:rPr>
      </w:pPr>
      <w:r>
        <w:rPr>
          <w:spacing w:val="-1"/>
          <w:sz w:val="21"/>
        </w:rPr>
        <w:t>展览场所区域内实行人车分流，划分人行道与车行道，确保人车分离。</w:t>
      </w:r>
    </w:p>
    <w:p>
      <w:pPr>
        <w:pStyle w:val="10"/>
        <w:numPr>
          <w:ilvl w:val="2"/>
          <w:numId w:val="5"/>
        </w:numPr>
        <w:tabs>
          <w:tab w:val="left" w:pos="1133"/>
        </w:tabs>
        <w:spacing w:before="43" w:after="0" w:line="240" w:lineRule="auto"/>
        <w:ind w:left="1132" w:right="0" w:hanging="736"/>
        <w:jc w:val="left"/>
        <w:rPr>
          <w:sz w:val="21"/>
        </w:rPr>
      </w:pPr>
      <w:r>
        <w:rPr>
          <w:spacing w:val="-1"/>
          <w:sz w:val="21"/>
        </w:rPr>
        <w:t>应在展览场馆区域内设置减速带、限速安全标识牌。</w:t>
      </w:r>
    </w:p>
    <w:p>
      <w:pPr>
        <w:pStyle w:val="10"/>
        <w:numPr>
          <w:ilvl w:val="2"/>
          <w:numId w:val="5"/>
        </w:numPr>
        <w:tabs>
          <w:tab w:val="left" w:pos="1133"/>
        </w:tabs>
        <w:spacing w:before="43" w:after="0" w:line="240" w:lineRule="auto"/>
        <w:ind w:left="1132" w:right="0" w:hanging="736"/>
        <w:jc w:val="left"/>
        <w:rPr>
          <w:sz w:val="21"/>
        </w:rPr>
      </w:pPr>
      <w:r>
        <w:rPr>
          <w:spacing w:val="-1"/>
          <w:sz w:val="21"/>
        </w:rPr>
        <w:t>特种车辆在展馆区域内作业时应按照特种车辆相关规定行驶及操作。</w:t>
      </w:r>
    </w:p>
    <w:p>
      <w:pPr>
        <w:pStyle w:val="3"/>
        <w:spacing w:before="6"/>
        <w:rPr>
          <w:sz w:val="15"/>
        </w:rPr>
      </w:pPr>
    </w:p>
    <w:p>
      <w:pPr>
        <w:pStyle w:val="10"/>
        <w:numPr>
          <w:ilvl w:val="1"/>
          <w:numId w:val="5"/>
        </w:numPr>
        <w:tabs>
          <w:tab w:val="left" w:pos="924"/>
        </w:tabs>
        <w:spacing w:before="1" w:after="0" w:line="240" w:lineRule="auto"/>
        <w:ind w:left="923" w:right="0" w:hanging="527"/>
        <w:jc w:val="left"/>
        <w:rPr>
          <w:rFonts w:ascii="黑体" w:eastAsia="黑体"/>
          <w:sz w:val="21"/>
        </w:rPr>
      </w:pPr>
      <w:r>
        <w:rPr>
          <w:rFonts w:ascii="黑体" w:eastAsia="黑体"/>
          <w:spacing w:val="-4"/>
          <w:sz w:val="21"/>
        </w:rPr>
        <w:t>保洁服务</w:t>
      </w:r>
    </w:p>
    <w:p>
      <w:pPr>
        <w:pStyle w:val="3"/>
        <w:spacing w:before="6"/>
        <w:rPr>
          <w:rFonts w:ascii="黑体"/>
          <w:sz w:val="15"/>
        </w:rPr>
      </w:pPr>
    </w:p>
    <w:p>
      <w:pPr>
        <w:pStyle w:val="10"/>
        <w:numPr>
          <w:ilvl w:val="2"/>
          <w:numId w:val="5"/>
        </w:numPr>
        <w:tabs>
          <w:tab w:val="left" w:pos="1133"/>
        </w:tabs>
        <w:spacing w:before="0" w:after="0" w:line="240" w:lineRule="auto"/>
        <w:ind w:left="1132" w:right="0" w:hanging="736"/>
        <w:jc w:val="left"/>
        <w:rPr>
          <w:sz w:val="21"/>
        </w:rPr>
      </w:pPr>
      <w:r>
        <w:rPr>
          <w:spacing w:val="-1"/>
          <w:sz w:val="21"/>
        </w:rPr>
        <w:t>保持场馆内外部环境整洁，根据展位分布情况设置垃圾桶。</w:t>
      </w:r>
    </w:p>
    <w:p>
      <w:pPr>
        <w:pStyle w:val="10"/>
        <w:numPr>
          <w:ilvl w:val="2"/>
          <w:numId w:val="5"/>
        </w:numPr>
        <w:tabs>
          <w:tab w:val="left" w:pos="1133"/>
        </w:tabs>
        <w:spacing w:before="43" w:after="0" w:line="240" w:lineRule="auto"/>
        <w:ind w:left="1132" w:right="0" w:hanging="736"/>
        <w:jc w:val="left"/>
        <w:rPr>
          <w:sz w:val="21"/>
        </w:rPr>
      </w:pPr>
      <w:r>
        <w:rPr>
          <w:spacing w:val="-3"/>
          <w:sz w:val="21"/>
        </w:rPr>
        <w:t>垃圾分类、禁烟、保洁设备用具等标识清晰完备。</w:t>
      </w:r>
    </w:p>
    <w:p>
      <w:pPr>
        <w:pStyle w:val="10"/>
        <w:numPr>
          <w:ilvl w:val="2"/>
          <w:numId w:val="5"/>
        </w:numPr>
        <w:tabs>
          <w:tab w:val="left" w:pos="1133"/>
        </w:tabs>
        <w:spacing w:before="43" w:after="0" w:line="278" w:lineRule="auto"/>
        <w:ind w:left="397" w:right="1139" w:firstLine="0"/>
        <w:jc w:val="left"/>
        <w:rPr>
          <w:sz w:val="21"/>
        </w:rPr>
      </w:pPr>
      <w:r>
        <w:rPr>
          <w:spacing w:val="-2"/>
          <w:sz w:val="21"/>
        </w:rPr>
        <w:t>展会期间，每日对公用设施（如电梯扶手、门把手和水龙头等）进行动态清洁、消毒；特殊时期对场馆内部进行空气消毒。</w:t>
      </w:r>
    </w:p>
    <w:p>
      <w:pPr>
        <w:pStyle w:val="10"/>
        <w:numPr>
          <w:ilvl w:val="2"/>
          <w:numId w:val="5"/>
        </w:numPr>
        <w:tabs>
          <w:tab w:val="left" w:pos="1133"/>
        </w:tabs>
        <w:spacing w:before="0" w:after="0" w:line="278" w:lineRule="auto"/>
        <w:ind w:left="397" w:right="1139" w:firstLine="0"/>
        <w:jc w:val="left"/>
        <w:rPr>
          <w:sz w:val="21"/>
        </w:rPr>
      </w:pPr>
      <w:r>
        <w:rPr>
          <w:spacing w:val="-2"/>
          <w:sz w:val="21"/>
        </w:rPr>
        <w:t>应根据展览场馆设施条件及主（承）办单位需求，对保洁和垃圾清运工作的范围、程序、时限和质量进行监督检查。</w:t>
      </w:r>
    </w:p>
    <w:p>
      <w:pPr>
        <w:pStyle w:val="10"/>
        <w:numPr>
          <w:ilvl w:val="1"/>
          <w:numId w:val="5"/>
        </w:numPr>
        <w:tabs>
          <w:tab w:val="left" w:pos="924"/>
        </w:tabs>
        <w:spacing w:before="156" w:after="0" w:line="240" w:lineRule="auto"/>
        <w:ind w:left="923" w:right="0" w:hanging="527"/>
        <w:jc w:val="left"/>
        <w:rPr>
          <w:rFonts w:ascii="黑体" w:eastAsia="黑体"/>
          <w:sz w:val="21"/>
        </w:rPr>
      </w:pPr>
      <w:r>
        <w:rPr>
          <w:rFonts w:ascii="黑体" w:eastAsia="黑体"/>
          <w:spacing w:val="-3"/>
          <w:sz w:val="21"/>
        </w:rPr>
        <w:t>信息咨询与投诉受理</w:t>
      </w:r>
    </w:p>
    <w:p>
      <w:pPr>
        <w:pStyle w:val="3"/>
        <w:spacing w:before="6"/>
        <w:rPr>
          <w:rFonts w:ascii="黑体"/>
          <w:sz w:val="15"/>
        </w:rPr>
      </w:pPr>
    </w:p>
    <w:p>
      <w:pPr>
        <w:pStyle w:val="10"/>
        <w:numPr>
          <w:ilvl w:val="2"/>
          <w:numId w:val="5"/>
        </w:numPr>
        <w:tabs>
          <w:tab w:val="left" w:pos="1133"/>
        </w:tabs>
        <w:spacing w:before="0" w:after="0" w:line="278" w:lineRule="auto"/>
        <w:ind w:left="397" w:right="1139" w:firstLine="0"/>
        <w:jc w:val="left"/>
        <w:rPr>
          <w:sz w:val="21"/>
        </w:rPr>
      </w:pPr>
      <w:r>
        <w:rPr>
          <w:spacing w:val="-2"/>
          <w:sz w:val="21"/>
        </w:rPr>
        <w:t>设置咨询服务处，向参展商、展会观众提供展位查询、同期会议查询、旅游景点咨询、交通咨询、住宿就餐咨询、银行网点咨询等便民服务。</w:t>
      </w:r>
    </w:p>
    <w:p>
      <w:pPr>
        <w:pStyle w:val="10"/>
        <w:numPr>
          <w:ilvl w:val="2"/>
          <w:numId w:val="5"/>
        </w:numPr>
        <w:tabs>
          <w:tab w:val="left" w:pos="1133"/>
        </w:tabs>
        <w:spacing w:before="0" w:after="0" w:line="269" w:lineRule="exact"/>
        <w:ind w:left="1132" w:right="0" w:hanging="736"/>
        <w:jc w:val="both"/>
        <w:rPr>
          <w:sz w:val="21"/>
        </w:rPr>
      </w:pPr>
      <w:r>
        <w:rPr>
          <w:spacing w:val="-1"/>
          <w:sz w:val="21"/>
        </w:rPr>
        <w:t>建立完善客户投诉处理制度，受理各方反馈意见或建议，并做好相关记录。</w:t>
      </w:r>
    </w:p>
    <w:p>
      <w:pPr>
        <w:pStyle w:val="3"/>
        <w:spacing w:before="7"/>
        <w:rPr>
          <w:sz w:val="15"/>
        </w:rPr>
      </w:pPr>
    </w:p>
    <w:p>
      <w:pPr>
        <w:pStyle w:val="10"/>
        <w:numPr>
          <w:ilvl w:val="1"/>
          <w:numId w:val="5"/>
        </w:numPr>
        <w:tabs>
          <w:tab w:val="left" w:pos="924"/>
        </w:tabs>
        <w:spacing w:before="0" w:after="0" w:line="240" w:lineRule="auto"/>
        <w:ind w:left="923" w:right="0" w:hanging="527"/>
        <w:jc w:val="left"/>
        <w:rPr>
          <w:rFonts w:ascii="黑体" w:eastAsia="黑体"/>
          <w:sz w:val="21"/>
        </w:rPr>
      </w:pPr>
      <w:r>
        <w:rPr>
          <w:rFonts w:ascii="黑体" w:eastAsia="黑体"/>
          <w:spacing w:val="-4"/>
          <w:sz w:val="21"/>
        </w:rPr>
        <w:t>配套服务</w:t>
      </w:r>
    </w:p>
    <w:p>
      <w:pPr>
        <w:pStyle w:val="3"/>
        <w:spacing w:before="7"/>
        <w:rPr>
          <w:rFonts w:ascii="黑体"/>
          <w:sz w:val="15"/>
        </w:rPr>
      </w:pPr>
    </w:p>
    <w:p>
      <w:pPr>
        <w:pStyle w:val="10"/>
        <w:numPr>
          <w:ilvl w:val="2"/>
          <w:numId w:val="5"/>
        </w:numPr>
        <w:tabs>
          <w:tab w:val="left" w:pos="1133"/>
        </w:tabs>
        <w:spacing w:before="0" w:after="0" w:line="240" w:lineRule="auto"/>
        <w:ind w:left="1132" w:right="0" w:hanging="736"/>
        <w:jc w:val="left"/>
        <w:rPr>
          <w:rFonts w:ascii="黑体" w:eastAsia="黑体"/>
          <w:sz w:val="21"/>
        </w:rPr>
      </w:pPr>
      <w:r>
        <w:rPr>
          <w:rFonts w:ascii="黑体" w:eastAsia="黑体"/>
          <w:spacing w:val="-4"/>
          <w:sz w:val="21"/>
        </w:rPr>
        <w:t>会议服务</w:t>
      </w:r>
    </w:p>
    <w:p>
      <w:pPr>
        <w:pStyle w:val="3"/>
        <w:spacing w:before="7"/>
        <w:rPr>
          <w:rFonts w:ascii="黑体"/>
          <w:sz w:val="15"/>
        </w:rPr>
      </w:pPr>
    </w:p>
    <w:p>
      <w:pPr>
        <w:pStyle w:val="3"/>
        <w:ind w:left="817"/>
      </w:pPr>
      <w:r>
        <w:t>宜根据主（承）</w:t>
      </w:r>
      <w:r>
        <w:rPr>
          <w:spacing w:val="-1"/>
        </w:rPr>
        <w:t>办单位需求，提供相应的会议场所和服务。</w:t>
      </w:r>
    </w:p>
    <w:p>
      <w:pPr>
        <w:pStyle w:val="3"/>
        <w:spacing w:before="6"/>
        <w:rPr>
          <w:sz w:val="15"/>
        </w:rPr>
      </w:pPr>
    </w:p>
    <w:p>
      <w:pPr>
        <w:pStyle w:val="10"/>
        <w:numPr>
          <w:ilvl w:val="2"/>
          <w:numId w:val="5"/>
        </w:numPr>
        <w:tabs>
          <w:tab w:val="left" w:pos="1133"/>
        </w:tabs>
        <w:spacing w:before="1" w:after="0" w:line="240" w:lineRule="auto"/>
        <w:ind w:left="1132" w:right="0" w:hanging="736"/>
        <w:jc w:val="left"/>
        <w:rPr>
          <w:rFonts w:ascii="黑体" w:eastAsia="黑体"/>
          <w:sz w:val="21"/>
        </w:rPr>
      </w:pPr>
      <w:r>
        <w:rPr>
          <w:rFonts w:ascii="黑体" w:eastAsia="黑体"/>
          <w:spacing w:val="-4"/>
          <w:sz w:val="21"/>
        </w:rPr>
        <w:t>物流服务</w:t>
      </w:r>
    </w:p>
    <w:p>
      <w:pPr>
        <w:pStyle w:val="3"/>
        <w:spacing w:before="6"/>
        <w:rPr>
          <w:rFonts w:ascii="黑体"/>
          <w:sz w:val="15"/>
        </w:rPr>
      </w:pPr>
    </w:p>
    <w:p>
      <w:pPr>
        <w:pStyle w:val="10"/>
        <w:numPr>
          <w:ilvl w:val="3"/>
          <w:numId w:val="5"/>
        </w:numPr>
        <w:tabs>
          <w:tab w:val="left" w:pos="1343"/>
        </w:tabs>
        <w:spacing w:before="0" w:after="0" w:line="278" w:lineRule="auto"/>
        <w:ind w:left="397" w:right="1139" w:firstLine="0"/>
        <w:jc w:val="left"/>
        <w:rPr>
          <w:sz w:val="21"/>
        </w:rPr>
      </w:pPr>
      <w:r>
        <w:rPr>
          <w:spacing w:val="-2"/>
          <w:sz w:val="21"/>
        </w:rPr>
        <w:t>展会物流可根据实际提供服务项目包括装卸货、展会代收货和仓储、拆装箱、装卸机械租赁</w:t>
      </w:r>
      <w:r>
        <w:rPr>
          <w:spacing w:val="-6"/>
          <w:sz w:val="21"/>
        </w:rPr>
        <w:t>等。</w:t>
      </w:r>
    </w:p>
    <w:p>
      <w:pPr>
        <w:pStyle w:val="10"/>
        <w:numPr>
          <w:ilvl w:val="3"/>
          <w:numId w:val="5"/>
        </w:numPr>
        <w:tabs>
          <w:tab w:val="left" w:pos="1343"/>
        </w:tabs>
        <w:spacing w:before="0" w:after="0" w:line="269" w:lineRule="exact"/>
        <w:ind w:left="1342" w:right="0" w:hanging="946"/>
        <w:jc w:val="left"/>
        <w:rPr>
          <w:sz w:val="21"/>
        </w:rPr>
      </w:pPr>
      <w:r>
        <w:rPr>
          <w:spacing w:val="-1"/>
          <w:sz w:val="21"/>
        </w:rPr>
        <w:t>展会物流按照展会规模大小提前准备相应装卸机械及人员，保证接单后及时完成货品装卸。</w:t>
      </w:r>
    </w:p>
    <w:p>
      <w:pPr>
        <w:pStyle w:val="3"/>
        <w:spacing w:before="7"/>
        <w:rPr>
          <w:sz w:val="15"/>
        </w:rPr>
      </w:pPr>
    </w:p>
    <w:p>
      <w:pPr>
        <w:pStyle w:val="10"/>
        <w:numPr>
          <w:ilvl w:val="2"/>
          <w:numId w:val="5"/>
        </w:numPr>
        <w:tabs>
          <w:tab w:val="left" w:pos="1133"/>
        </w:tabs>
        <w:spacing w:before="0" w:after="0" w:line="240" w:lineRule="auto"/>
        <w:ind w:left="1132" w:right="0" w:hanging="736"/>
        <w:jc w:val="left"/>
        <w:rPr>
          <w:rFonts w:ascii="黑体" w:eastAsia="黑体"/>
          <w:sz w:val="21"/>
        </w:rPr>
      </w:pPr>
      <w:r>
        <w:rPr>
          <w:rFonts w:ascii="黑体" w:eastAsia="黑体"/>
          <w:spacing w:val="-4"/>
          <w:sz w:val="21"/>
        </w:rPr>
        <w:t>餐饮服务</w:t>
      </w:r>
    </w:p>
    <w:p>
      <w:pPr>
        <w:pStyle w:val="3"/>
        <w:spacing w:before="7"/>
        <w:rPr>
          <w:rFonts w:ascii="黑体"/>
          <w:sz w:val="15"/>
        </w:rPr>
      </w:pPr>
    </w:p>
    <w:p>
      <w:pPr>
        <w:pStyle w:val="10"/>
        <w:numPr>
          <w:ilvl w:val="3"/>
          <w:numId w:val="5"/>
        </w:numPr>
        <w:tabs>
          <w:tab w:val="left" w:pos="1343"/>
        </w:tabs>
        <w:spacing w:before="0" w:after="0" w:line="240" w:lineRule="auto"/>
        <w:ind w:left="1342" w:right="0" w:hanging="946"/>
        <w:jc w:val="left"/>
        <w:rPr>
          <w:sz w:val="21"/>
        </w:rPr>
      </w:pPr>
      <w:r>
        <w:rPr>
          <w:spacing w:val="-1"/>
          <w:sz w:val="21"/>
        </w:rPr>
        <w:t>宜提供包括快餐服务、咖啡厅服务、饮用水供应、小食品售卖等多种形式的餐饮服务。</w:t>
      </w:r>
    </w:p>
    <w:p>
      <w:pPr>
        <w:pStyle w:val="10"/>
        <w:numPr>
          <w:ilvl w:val="3"/>
          <w:numId w:val="5"/>
        </w:numPr>
        <w:tabs>
          <w:tab w:val="left" w:pos="1343"/>
        </w:tabs>
        <w:spacing w:before="43" w:after="0" w:line="278" w:lineRule="auto"/>
        <w:ind w:left="397" w:right="1139" w:firstLine="0"/>
        <w:jc w:val="left"/>
        <w:rPr>
          <w:sz w:val="21"/>
        </w:rPr>
      </w:pPr>
      <w:r>
        <w:rPr>
          <w:spacing w:val="-2"/>
          <w:sz w:val="21"/>
        </w:rPr>
        <w:t>应选择具备食品安全经营许可资质、具有与经营规模、接待能力相适应的供应商为展会提供相应的餐饮服务。</w:t>
      </w:r>
    </w:p>
    <w:p>
      <w:pPr>
        <w:pStyle w:val="10"/>
        <w:numPr>
          <w:ilvl w:val="2"/>
          <w:numId w:val="5"/>
        </w:numPr>
        <w:tabs>
          <w:tab w:val="left" w:pos="1133"/>
        </w:tabs>
        <w:spacing w:before="155" w:after="0" w:line="240" w:lineRule="auto"/>
        <w:ind w:left="1132" w:right="0" w:hanging="736"/>
        <w:jc w:val="left"/>
        <w:rPr>
          <w:rFonts w:ascii="黑体" w:eastAsia="黑体"/>
          <w:sz w:val="21"/>
        </w:rPr>
      </w:pPr>
      <w:r>
        <w:rPr>
          <w:rFonts w:ascii="黑体" w:eastAsia="黑体"/>
          <w:spacing w:val="-4"/>
          <w:sz w:val="21"/>
        </w:rPr>
        <w:t>租赁服务</w:t>
      </w:r>
    </w:p>
    <w:p>
      <w:pPr>
        <w:pStyle w:val="3"/>
        <w:spacing w:before="7"/>
        <w:rPr>
          <w:rFonts w:ascii="黑体"/>
          <w:sz w:val="15"/>
        </w:rPr>
      </w:pPr>
    </w:p>
    <w:p>
      <w:pPr>
        <w:pStyle w:val="3"/>
        <w:ind w:left="817"/>
      </w:pPr>
      <w:r>
        <w:rPr>
          <w:spacing w:val="-1"/>
        </w:rPr>
        <w:t>提供展览展示各类所需物资的租赁。</w:t>
      </w:r>
    </w:p>
    <w:p>
      <w:pPr>
        <w:pStyle w:val="3"/>
        <w:spacing w:before="7"/>
        <w:rPr>
          <w:sz w:val="15"/>
        </w:rPr>
      </w:pPr>
    </w:p>
    <w:p>
      <w:pPr>
        <w:pStyle w:val="10"/>
        <w:numPr>
          <w:ilvl w:val="2"/>
          <w:numId w:val="5"/>
        </w:numPr>
        <w:tabs>
          <w:tab w:val="left" w:pos="1133"/>
        </w:tabs>
        <w:spacing w:before="0" w:after="0" w:line="240" w:lineRule="auto"/>
        <w:ind w:left="1132" w:right="0" w:hanging="736"/>
        <w:jc w:val="left"/>
        <w:rPr>
          <w:rFonts w:ascii="黑体" w:eastAsia="黑体"/>
          <w:sz w:val="21"/>
        </w:rPr>
      </w:pPr>
      <w:r>
        <w:rPr>
          <w:rFonts w:ascii="黑体" w:eastAsia="黑体"/>
          <w:spacing w:val="-4"/>
          <w:sz w:val="21"/>
        </w:rPr>
        <w:t>通信网络服务</w:t>
      </w:r>
    </w:p>
    <w:p>
      <w:pPr>
        <w:pStyle w:val="3"/>
        <w:spacing w:before="7"/>
        <w:rPr>
          <w:rFonts w:ascii="黑体"/>
          <w:sz w:val="15"/>
        </w:rPr>
      </w:pPr>
    </w:p>
    <w:p>
      <w:pPr>
        <w:pStyle w:val="3"/>
        <w:ind w:left="817"/>
      </w:pPr>
      <w:r>
        <w:rPr>
          <w:spacing w:val="-1"/>
        </w:rPr>
        <w:t>提供电话、网络等通信服务。</w:t>
      </w:r>
    </w:p>
    <w:p>
      <w:pPr>
        <w:pStyle w:val="3"/>
        <w:spacing w:before="12"/>
        <w:rPr>
          <w:sz w:val="12"/>
        </w:rPr>
      </w:pPr>
    </w:p>
    <w:p>
      <w:pPr>
        <w:spacing w:before="0"/>
        <w:ind w:left="0" w:right="1329" w:firstLine="0"/>
        <w:jc w:val="right"/>
        <w:rPr>
          <w:sz w:val="18"/>
        </w:rPr>
      </w:pPr>
      <w:r>
        <w:rPr>
          <w:sz w:val="18"/>
        </w:rPr>
        <w:t>5</w:t>
      </w:r>
    </w:p>
    <w:p>
      <w:pPr>
        <w:spacing w:after="0"/>
        <w:jc w:val="right"/>
        <w:rPr>
          <w:sz w:val="18"/>
        </w:rPr>
        <w:sectPr>
          <w:pgSz w:w="11910" w:h="16840"/>
          <w:pgMar w:top="1660" w:right="0" w:bottom="280" w:left="1020" w:header="1442" w:footer="0" w:gutter="0"/>
          <w:cols w:space="720" w:num="1"/>
        </w:sectPr>
      </w:pPr>
    </w:p>
    <w:p>
      <w:pPr>
        <w:pStyle w:val="3"/>
        <w:spacing w:before="7"/>
        <w:rPr>
          <w:sz w:val="14"/>
        </w:rPr>
      </w:pPr>
    </w:p>
    <w:p>
      <w:pPr>
        <w:pStyle w:val="10"/>
        <w:numPr>
          <w:ilvl w:val="2"/>
          <w:numId w:val="5"/>
        </w:numPr>
        <w:tabs>
          <w:tab w:val="left" w:pos="850"/>
        </w:tabs>
        <w:spacing w:before="70" w:after="0" w:line="240" w:lineRule="auto"/>
        <w:ind w:left="849" w:right="0" w:hanging="736"/>
        <w:jc w:val="left"/>
        <w:rPr>
          <w:rFonts w:ascii="黑体" w:eastAsia="黑体"/>
          <w:sz w:val="21"/>
        </w:rPr>
      </w:pPr>
      <w:r>
        <w:rPr>
          <w:rFonts w:ascii="黑体" w:eastAsia="黑体"/>
          <w:spacing w:val="-4"/>
          <w:sz w:val="21"/>
        </w:rPr>
        <w:t>物品寄存</w:t>
      </w:r>
    </w:p>
    <w:p>
      <w:pPr>
        <w:pStyle w:val="3"/>
        <w:spacing w:before="7"/>
        <w:rPr>
          <w:rFonts w:ascii="黑体"/>
          <w:sz w:val="15"/>
        </w:rPr>
      </w:pPr>
    </w:p>
    <w:p>
      <w:pPr>
        <w:pStyle w:val="3"/>
        <w:ind w:left="534"/>
      </w:pPr>
      <w:r>
        <w:rPr>
          <w:spacing w:val="-1"/>
        </w:rPr>
        <w:t>提供小件物品寄存服务。</w:t>
      </w:r>
    </w:p>
    <w:p>
      <w:pPr>
        <w:pStyle w:val="3"/>
        <w:spacing w:before="9"/>
        <w:rPr>
          <w:sz w:val="27"/>
        </w:rPr>
      </w:pPr>
    </w:p>
    <w:p>
      <w:pPr>
        <w:pStyle w:val="10"/>
        <w:numPr>
          <w:ilvl w:val="0"/>
          <w:numId w:val="1"/>
        </w:numPr>
        <w:tabs>
          <w:tab w:val="left" w:pos="431"/>
        </w:tabs>
        <w:spacing w:before="0" w:after="0" w:line="240" w:lineRule="auto"/>
        <w:ind w:left="430" w:right="0" w:hanging="317"/>
        <w:jc w:val="left"/>
        <w:rPr>
          <w:rFonts w:ascii="黑体" w:eastAsia="黑体"/>
          <w:b/>
          <w:bCs/>
          <w:sz w:val="21"/>
        </w:rPr>
      </w:pPr>
      <w:r>
        <w:rPr>
          <w:rFonts w:ascii="黑体" w:eastAsia="黑体"/>
          <w:b/>
          <w:bCs/>
          <w:spacing w:val="-3"/>
          <w:sz w:val="21"/>
        </w:rPr>
        <w:t>服务质量控制与评价改进</w:t>
      </w:r>
    </w:p>
    <w:p>
      <w:pPr>
        <w:pStyle w:val="3"/>
        <w:spacing w:before="9"/>
        <w:rPr>
          <w:rFonts w:ascii="黑体"/>
          <w:sz w:val="27"/>
        </w:rPr>
      </w:pPr>
    </w:p>
    <w:p>
      <w:pPr>
        <w:pStyle w:val="10"/>
        <w:numPr>
          <w:ilvl w:val="1"/>
          <w:numId w:val="1"/>
        </w:numPr>
        <w:tabs>
          <w:tab w:val="left" w:pos="640"/>
        </w:tabs>
        <w:spacing w:before="0" w:after="0" w:line="240" w:lineRule="auto"/>
        <w:ind w:left="639" w:right="0" w:hanging="526"/>
        <w:jc w:val="left"/>
        <w:rPr>
          <w:sz w:val="21"/>
        </w:rPr>
      </w:pPr>
      <w:r>
        <w:rPr>
          <w:spacing w:val="-1"/>
          <w:sz w:val="21"/>
        </w:rPr>
        <w:t>应做好信息收集与统计，及时跟踪展会动态，开展满意度调查。</w:t>
      </w:r>
    </w:p>
    <w:p>
      <w:pPr>
        <w:pStyle w:val="10"/>
        <w:numPr>
          <w:ilvl w:val="1"/>
          <w:numId w:val="1"/>
        </w:numPr>
        <w:tabs>
          <w:tab w:val="left" w:pos="640"/>
        </w:tabs>
        <w:spacing w:before="43" w:after="0" w:line="240" w:lineRule="auto"/>
        <w:ind w:left="639" w:right="0" w:hanging="527"/>
        <w:jc w:val="left"/>
        <w:rPr>
          <w:sz w:val="21"/>
        </w:rPr>
      </w:pPr>
      <w:r>
        <w:rPr>
          <w:spacing w:val="-4"/>
          <w:sz w:val="21"/>
        </w:rPr>
        <w:t xml:space="preserve">运营绩效关键评价指标计算方法见附录 </w:t>
      </w:r>
      <w:r>
        <w:rPr>
          <w:rFonts w:ascii="Times New Roman" w:eastAsia="Times New Roman"/>
          <w:spacing w:val="-2"/>
          <w:sz w:val="21"/>
        </w:rPr>
        <w:t>A</w:t>
      </w:r>
      <w:r>
        <w:rPr>
          <w:spacing w:val="-10"/>
          <w:sz w:val="21"/>
        </w:rPr>
        <w:t>。</w:t>
      </w:r>
    </w:p>
    <w:p>
      <w:pPr>
        <w:pStyle w:val="10"/>
        <w:numPr>
          <w:ilvl w:val="1"/>
          <w:numId w:val="1"/>
        </w:numPr>
        <w:tabs>
          <w:tab w:val="left" w:pos="640"/>
        </w:tabs>
        <w:spacing w:before="43" w:after="0" w:line="240" w:lineRule="auto"/>
        <w:ind w:left="639" w:right="0" w:hanging="527"/>
        <w:jc w:val="left"/>
        <w:rPr>
          <w:sz w:val="21"/>
        </w:rPr>
      </w:pPr>
      <w:r>
        <w:rPr>
          <w:spacing w:val="-1"/>
          <w:sz w:val="21"/>
        </w:rPr>
        <w:t>根据满意度调查及运营绩效评价结果开展持续改进。</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3"/>
        <w:rPr>
          <w:sz w:val="27"/>
        </w:rPr>
      </w:pPr>
    </w:p>
    <w:p>
      <w:pPr>
        <w:spacing w:before="75"/>
        <w:ind w:left="334" w:right="0" w:firstLine="0"/>
        <w:jc w:val="left"/>
        <w:rPr>
          <w:sz w:val="18"/>
        </w:rPr>
      </w:pPr>
      <w:r>
        <w:rPr>
          <w:sz w:val="18"/>
        </w:rPr>
        <w:t>6</w:t>
      </w:r>
    </w:p>
    <w:p>
      <w:pPr>
        <w:spacing w:after="0"/>
        <w:rPr>
          <w:rFonts w:hint="eastAsia" w:eastAsia="宋体"/>
          <w:sz w:val="15"/>
          <w:lang w:eastAsia="zh-CN"/>
        </w:rPr>
        <w:sectPr>
          <w:headerReference r:id="rId11" w:type="even"/>
          <w:pgSz w:w="11910" w:h="16840"/>
          <w:pgMar w:top="1600" w:right="0" w:bottom="280" w:left="1020" w:header="0" w:footer="0" w:gutter="0"/>
          <w:cols w:space="720" w:num="1"/>
        </w:sectPr>
      </w:pPr>
    </w:p>
    <w:p>
      <w:pPr>
        <w:pStyle w:val="3"/>
        <w:spacing w:before="7"/>
        <w:rPr>
          <w:sz w:val="15"/>
        </w:rPr>
      </w:pPr>
    </w:p>
    <w:sectPr>
      <w:headerReference r:id="rId12" w:type="default"/>
      <w:pgSz w:w="11910" w:h="16840"/>
      <w:pgMar w:top="1600" w:right="0" w:bottom="280" w:left="102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448.35pt;margin-top:71.1pt;height:13.65pt;width:91.3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pStyle w:val="3"/>
                  <w:spacing w:line="266" w:lineRule="exact"/>
                  <w:ind w:left="20"/>
                  <w:rPr>
                    <w:rFonts w:hint="eastAsia" w:ascii="黑体" w:hAnsi="黑体" w:eastAsia="宋体"/>
                    <w:lang w:eastAsia="zh-CN"/>
                  </w:rPr>
                </w:pPr>
                <w:r>
                  <w:rPr>
                    <w:rFonts w:ascii="黑体" w:hAnsi="黑体"/>
                  </w:rPr>
                  <w:t>DB</w:t>
                </w:r>
                <w:r>
                  <w:rPr>
                    <w:rFonts w:hint="eastAsia" w:ascii="黑体" w:hAnsi="黑体"/>
                    <w:lang w:val="en-US" w:eastAsia="zh-CN"/>
                  </w:rPr>
                  <w:t>15</w:t>
                </w:r>
                <w:r>
                  <w:rPr>
                    <w:rFonts w:ascii="黑体" w:hAnsi="黑体"/>
                  </w:rPr>
                  <w:t>/T</w:t>
                </w:r>
                <w:r>
                  <w:rPr>
                    <w:rFonts w:ascii="黑体" w:hAnsi="黑体"/>
                    <w:spacing w:val="-7"/>
                  </w:rPr>
                  <w:t xml:space="preserve"> </w:t>
                </w:r>
                <w:r>
                  <w:rPr>
                    <w:rFonts w:hint="eastAsia" w:ascii="黑体" w:hAnsi="黑体"/>
                    <w:lang w:val="en-US" w:eastAsia="zh-CN"/>
                  </w:rPr>
                  <w:t>XXXX</w:t>
                </w:r>
                <w:r>
                  <w:rPr>
                    <w:rFonts w:ascii="Times New Roman" w:hAnsi="Times New Roman"/>
                  </w:rPr>
                  <w:t>—</w:t>
                </w:r>
                <w:r>
                  <w:rPr>
                    <w:rFonts w:ascii="黑体" w:hAnsi="黑体"/>
                    <w:spacing w:val="-4"/>
                  </w:rPr>
                  <w:t>202</w:t>
                </w:r>
                <w:r>
                  <w:rPr>
                    <w:rFonts w:hint="eastAsia" w:ascii="黑体" w:hAnsi="黑体"/>
                    <w:spacing w:val="-4"/>
                    <w:lang w:val="en-US" w:eastAsia="zh-CN"/>
                  </w:rPr>
                  <w:t>3</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1" o:spid="_x0000_s2051" o:spt="202" type="#_x0000_t202" style="position:absolute;left:0pt;margin-left:55.7pt;margin-top:71.1pt;height:13.65pt;width:91.3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pStyle w:val="3"/>
                  <w:spacing w:line="266" w:lineRule="exact"/>
                  <w:ind w:left="20"/>
                  <w:rPr>
                    <w:rFonts w:hint="eastAsia" w:ascii="黑体" w:hAnsi="黑体" w:eastAsia="宋体"/>
                    <w:lang w:eastAsia="zh-CN"/>
                  </w:rPr>
                </w:pPr>
                <w:r>
                  <w:rPr>
                    <w:rFonts w:hint="eastAsia" w:ascii="黑体" w:hAnsi="黑体"/>
                  </w:rPr>
                  <w:t>T/IMAS</w:t>
                </w:r>
                <w:r>
                  <w:rPr>
                    <w:rFonts w:ascii="黑体" w:hAnsi="黑体"/>
                    <w:spacing w:val="-7"/>
                  </w:rPr>
                  <w:t xml:space="preserve"> </w:t>
                </w:r>
                <w:r>
                  <w:rPr>
                    <w:rFonts w:hint="eastAsia" w:ascii="黑体" w:hAnsi="黑体"/>
                    <w:lang w:val="en-US" w:eastAsia="zh-CN"/>
                  </w:rPr>
                  <w:t>XXX</w:t>
                </w:r>
                <w:r>
                  <w:rPr>
                    <w:rFonts w:ascii="Times New Roman" w:hAnsi="Times New Roman"/>
                  </w:rPr>
                  <w:t>—</w:t>
                </w:r>
                <w:r>
                  <w:rPr>
                    <w:rFonts w:ascii="黑体" w:hAnsi="黑体"/>
                    <w:spacing w:val="-4"/>
                  </w:rPr>
                  <w:t>202</w:t>
                </w:r>
                <w:r>
                  <w:rPr>
                    <w:rFonts w:hint="eastAsia" w:ascii="黑体" w:hAnsi="黑体"/>
                    <w:spacing w:val="-4"/>
                    <w:lang w:val="en-US" w:eastAsia="zh-CN"/>
                  </w:rPr>
                  <w:t>4</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0" o:spid="_x0000_s2050" o:spt="202" type="#_x0000_t202" style="position:absolute;left:0pt;margin-left:448.35pt;margin-top:71.1pt;height:13.65pt;width:91.3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pStyle w:val="3"/>
                  <w:spacing w:line="266" w:lineRule="exact"/>
                  <w:ind w:left="20"/>
                  <w:rPr>
                    <w:rFonts w:hint="eastAsia" w:ascii="黑体" w:hAnsi="黑体" w:eastAsia="宋体"/>
                    <w:lang w:eastAsia="zh-CN"/>
                  </w:rPr>
                </w:pPr>
                <w:r>
                  <w:rPr>
                    <w:rFonts w:ascii="黑体" w:hAnsi="黑体"/>
                  </w:rPr>
                  <w:t>DB</w:t>
                </w:r>
                <w:r>
                  <w:rPr>
                    <w:rFonts w:hint="eastAsia" w:ascii="黑体" w:hAnsi="黑体"/>
                    <w:lang w:val="en-US" w:eastAsia="zh-CN"/>
                  </w:rPr>
                  <w:t>15</w:t>
                </w:r>
                <w:r>
                  <w:rPr>
                    <w:rFonts w:ascii="黑体" w:hAnsi="黑体"/>
                  </w:rPr>
                  <w:t>/T</w:t>
                </w:r>
                <w:r>
                  <w:rPr>
                    <w:rFonts w:ascii="黑体" w:hAnsi="黑体"/>
                    <w:spacing w:val="-7"/>
                  </w:rPr>
                  <w:t xml:space="preserve"> </w:t>
                </w:r>
                <w:r>
                  <w:rPr>
                    <w:rFonts w:hint="eastAsia" w:ascii="黑体" w:hAnsi="黑体"/>
                    <w:lang w:val="en-US" w:eastAsia="zh-CN"/>
                  </w:rPr>
                  <w:t>XXXX</w:t>
                </w:r>
                <w:r>
                  <w:rPr>
                    <w:rFonts w:ascii="Times New Roman" w:hAnsi="Times New Roman"/>
                  </w:rPr>
                  <w:t>—</w:t>
                </w:r>
                <w:r>
                  <w:rPr>
                    <w:rFonts w:ascii="黑体" w:hAnsi="黑体"/>
                    <w:spacing w:val="-4"/>
                  </w:rPr>
                  <w:t>202</w:t>
                </w:r>
                <w:r>
                  <w:rPr>
                    <w:rFonts w:hint="eastAsia" w:ascii="黑体" w:hAnsi="黑体"/>
                    <w:spacing w:val="-4"/>
                    <w:lang w:val="en-US" w:eastAsia="zh-CN"/>
                  </w:rPr>
                  <w:t>3</w:t>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6"/>
      <w:numFmt w:val="decimal"/>
      <w:lvlText w:val="%1"/>
      <w:lvlJc w:val="left"/>
      <w:pPr>
        <w:ind w:left="639" w:hanging="526"/>
        <w:jc w:val="left"/>
      </w:pPr>
      <w:rPr>
        <w:rFonts w:hint="default"/>
        <w:lang w:val="en-US" w:eastAsia="zh-CN" w:bidi="ar-SA"/>
      </w:rPr>
    </w:lvl>
    <w:lvl w:ilvl="1" w:tentative="0">
      <w:start w:val="2"/>
      <w:numFmt w:val="decimal"/>
      <w:lvlText w:val="%1.%2"/>
      <w:lvlJc w:val="left"/>
      <w:pPr>
        <w:ind w:left="639" w:hanging="526"/>
        <w:jc w:val="right"/>
      </w:pPr>
      <w:rPr>
        <w:rFonts w:hint="default" w:ascii="黑体" w:hAnsi="黑体" w:eastAsia="黑体" w:cs="黑体"/>
        <w:b w:val="0"/>
        <w:bCs w:val="0"/>
        <w:i w:val="0"/>
        <w:iCs w:val="0"/>
        <w:spacing w:val="-1"/>
        <w:w w:val="100"/>
        <w:sz w:val="21"/>
        <w:szCs w:val="21"/>
        <w:lang w:val="en-US" w:eastAsia="zh-CN" w:bidi="ar-SA"/>
      </w:rPr>
    </w:lvl>
    <w:lvl w:ilvl="2" w:tentative="0">
      <w:start w:val="1"/>
      <w:numFmt w:val="decimal"/>
      <w:lvlText w:val="%1.%2.%3"/>
      <w:lvlJc w:val="left"/>
      <w:pPr>
        <w:ind w:left="114" w:hanging="736"/>
        <w:jc w:val="left"/>
      </w:pPr>
      <w:rPr>
        <w:rFonts w:hint="default" w:ascii="黑体" w:hAnsi="黑体" w:eastAsia="黑体" w:cs="黑体"/>
        <w:b w:val="0"/>
        <w:bCs w:val="0"/>
        <w:i w:val="0"/>
        <w:iCs w:val="0"/>
        <w:spacing w:val="-1"/>
        <w:w w:val="100"/>
        <w:sz w:val="21"/>
        <w:szCs w:val="21"/>
        <w:lang w:val="en-US" w:eastAsia="zh-CN" w:bidi="ar-SA"/>
      </w:rPr>
    </w:lvl>
    <w:lvl w:ilvl="3" w:tentative="0">
      <w:start w:val="1"/>
      <w:numFmt w:val="decimal"/>
      <w:lvlText w:val="%1.%2.%3.%4"/>
      <w:lvlJc w:val="left"/>
      <w:pPr>
        <w:ind w:left="397" w:hanging="946"/>
        <w:jc w:val="left"/>
      </w:pPr>
      <w:rPr>
        <w:rFonts w:hint="default" w:ascii="黑体" w:hAnsi="黑体" w:eastAsia="黑体" w:cs="黑体"/>
        <w:b w:val="0"/>
        <w:bCs w:val="0"/>
        <w:i w:val="0"/>
        <w:iCs w:val="0"/>
        <w:spacing w:val="-1"/>
        <w:w w:val="100"/>
        <w:sz w:val="21"/>
        <w:szCs w:val="21"/>
        <w:lang w:val="en-US" w:eastAsia="zh-CN" w:bidi="ar-SA"/>
      </w:rPr>
    </w:lvl>
    <w:lvl w:ilvl="4" w:tentative="0">
      <w:start w:val="0"/>
      <w:numFmt w:val="bullet"/>
      <w:lvlText w:val="•"/>
      <w:lvlJc w:val="left"/>
      <w:pPr>
        <w:ind w:left="1140" w:hanging="946"/>
      </w:pPr>
      <w:rPr>
        <w:rFonts w:hint="default"/>
        <w:lang w:val="en-US" w:eastAsia="zh-CN" w:bidi="ar-SA"/>
      </w:rPr>
    </w:lvl>
    <w:lvl w:ilvl="5" w:tentative="0">
      <w:start w:val="0"/>
      <w:numFmt w:val="bullet"/>
      <w:lvlText w:val="•"/>
      <w:lvlJc w:val="left"/>
      <w:pPr>
        <w:ind w:left="1340" w:hanging="946"/>
      </w:pPr>
      <w:rPr>
        <w:rFonts w:hint="default"/>
        <w:lang w:val="en-US" w:eastAsia="zh-CN" w:bidi="ar-SA"/>
      </w:rPr>
    </w:lvl>
    <w:lvl w:ilvl="6" w:tentative="0">
      <w:start w:val="0"/>
      <w:numFmt w:val="bullet"/>
      <w:lvlText w:val="•"/>
      <w:lvlJc w:val="left"/>
      <w:pPr>
        <w:ind w:left="3248" w:hanging="946"/>
      </w:pPr>
      <w:rPr>
        <w:rFonts w:hint="default"/>
        <w:lang w:val="en-US" w:eastAsia="zh-CN" w:bidi="ar-SA"/>
      </w:rPr>
    </w:lvl>
    <w:lvl w:ilvl="7" w:tentative="0">
      <w:start w:val="0"/>
      <w:numFmt w:val="bullet"/>
      <w:lvlText w:val="•"/>
      <w:lvlJc w:val="left"/>
      <w:pPr>
        <w:ind w:left="5157" w:hanging="946"/>
      </w:pPr>
      <w:rPr>
        <w:rFonts w:hint="default"/>
        <w:lang w:val="en-US" w:eastAsia="zh-CN" w:bidi="ar-SA"/>
      </w:rPr>
    </w:lvl>
    <w:lvl w:ilvl="8" w:tentative="0">
      <w:start w:val="0"/>
      <w:numFmt w:val="bullet"/>
      <w:lvlText w:val="•"/>
      <w:lvlJc w:val="left"/>
      <w:pPr>
        <w:ind w:left="7066" w:hanging="946"/>
      </w:pPr>
      <w:rPr>
        <w:rFonts w:hint="default"/>
        <w:lang w:val="en-US" w:eastAsia="zh-CN" w:bidi="ar-SA"/>
      </w:rPr>
    </w:lvl>
  </w:abstractNum>
  <w:abstractNum w:abstractNumId="1">
    <w:nsid w:val="BF205925"/>
    <w:multiLevelType w:val="multilevel"/>
    <w:tmpl w:val="BF205925"/>
    <w:lvl w:ilvl="0" w:tentative="0">
      <w:start w:val="6"/>
      <w:numFmt w:val="decimal"/>
      <w:lvlText w:val="%1"/>
      <w:lvlJc w:val="left"/>
      <w:pPr>
        <w:ind w:left="114" w:hanging="946"/>
        <w:jc w:val="left"/>
      </w:pPr>
      <w:rPr>
        <w:rFonts w:hint="default"/>
        <w:lang w:val="en-US" w:eastAsia="zh-CN" w:bidi="ar-SA"/>
      </w:rPr>
    </w:lvl>
    <w:lvl w:ilvl="1" w:tentative="0">
      <w:start w:val="1"/>
      <w:numFmt w:val="decimal"/>
      <w:lvlText w:val="%1.%2"/>
      <w:lvlJc w:val="left"/>
      <w:pPr>
        <w:ind w:left="114" w:hanging="946"/>
        <w:jc w:val="left"/>
      </w:pPr>
      <w:rPr>
        <w:rFonts w:hint="default"/>
        <w:lang w:val="en-US" w:eastAsia="zh-CN" w:bidi="ar-SA"/>
      </w:rPr>
    </w:lvl>
    <w:lvl w:ilvl="2" w:tentative="0">
      <w:start w:val="2"/>
      <w:numFmt w:val="decimal"/>
      <w:lvlText w:val="%1.%2.%3"/>
      <w:lvlJc w:val="left"/>
      <w:pPr>
        <w:ind w:left="114" w:hanging="946"/>
        <w:jc w:val="left"/>
      </w:pPr>
      <w:rPr>
        <w:rFonts w:hint="default"/>
        <w:lang w:val="en-US" w:eastAsia="zh-CN" w:bidi="ar-SA"/>
      </w:rPr>
    </w:lvl>
    <w:lvl w:ilvl="3" w:tentative="0">
      <w:start w:val="1"/>
      <w:numFmt w:val="decimal"/>
      <w:lvlText w:val="%1.%2.%3.%4"/>
      <w:lvlJc w:val="left"/>
      <w:pPr>
        <w:ind w:left="114" w:hanging="946"/>
        <w:jc w:val="left"/>
      </w:pPr>
      <w:rPr>
        <w:rFonts w:hint="default" w:ascii="黑体" w:hAnsi="黑体" w:eastAsia="黑体" w:cs="黑体"/>
        <w:b w:val="0"/>
        <w:bCs w:val="0"/>
        <w:i w:val="0"/>
        <w:iCs w:val="0"/>
        <w:spacing w:val="-1"/>
        <w:w w:val="100"/>
        <w:sz w:val="21"/>
        <w:szCs w:val="21"/>
        <w:lang w:val="en-US" w:eastAsia="zh-CN" w:bidi="ar-SA"/>
      </w:rPr>
    </w:lvl>
    <w:lvl w:ilvl="4" w:tentative="0">
      <w:start w:val="0"/>
      <w:numFmt w:val="bullet"/>
      <w:lvlText w:val="•"/>
      <w:lvlJc w:val="left"/>
      <w:pPr>
        <w:ind w:left="4425" w:hanging="946"/>
      </w:pPr>
      <w:rPr>
        <w:rFonts w:hint="default"/>
        <w:lang w:val="en-US" w:eastAsia="zh-CN" w:bidi="ar-SA"/>
      </w:rPr>
    </w:lvl>
    <w:lvl w:ilvl="5" w:tentative="0">
      <w:start w:val="0"/>
      <w:numFmt w:val="bullet"/>
      <w:lvlText w:val="•"/>
      <w:lvlJc w:val="left"/>
      <w:pPr>
        <w:ind w:left="5502" w:hanging="946"/>
      </w:pPr>
      <w:rPr>
        <w:rFonts w:hint="default"/>
        <w:lang w:val="en-US" w:eastAsia="zh-CN" w:bidi="ar-SA"/>
      </w:rPr>
    </w:lvl>
    <w:lvl w:ilvl="6" w:tentative="0">
      <w:start w:val="0"/>
      <w:numFmt w:val="bullet"/>
      <w:lvlText w:val="•"/>
      <w:lvlJc w:val="left"/>
      <w:pPr>
        <w:ind w:left="6578" w:hanging="946"/>
      </w:pPr>
      <w:rPr>
        <w:rFonts w:hint="default"/>
        <w:lang w:val="en-US" w:eastAsia="zh-CN" w:bidi="ar-SA"/>
      </w:rPr>
    </w:lvl>
    <w:lvl w:ilvl="7" w:tentative="0">
      <w:start w:val="0"/>
      <w:numFmt w:val="bullet"/>
      <w:lvlText w:val="•"/>
      <w:lvlJc w:val="left"/>
      <w:pPr>
        <w:ind w:left="7655" w:hanging="946"/>
      </w:pPr>
      <w:rPr>
        <w:rFonts w:hint="default"/>
        <w:lang w:val="en-US" w:eastAsia="zh-CN" w:bidi="ar-SA"/>
      </w:rPr>
    </w:lvl>
    <w:lvl w:ilvl="8" w:tentative="0">
      <w:start w:val="0"/>
      <w:numFmt w:val="bullet"/>
      <w:lvlText w:val="•"/>
      <w:lvlJc w:val="left"/>
      <w:pPr>
        <w:ind w:left="8731" w:hanging="946"/>
      </w:pPr>
      <w:rPr>
        <w:rFonts w:hint="default"/>
        <w:lang w:val="en-US" w:eastAsia="zh-CN" w:bidi="ar-SA"/>
      </w:rPr>
    </w:lvl>
  </w:abstractNum>
  <w:abstractNum w:abstractNumId="2">
    <w:nsid w:val="CF092B84"/>
    <w:multiLevelType w:val="multilevel"/>
    <w:tmpl w:val="CF092B84"/>
    <w:lvl w:ilvl="0" w:tentative="0">
      <w:start w:val="1"/>
      <w:numFmt w:val="lowerLetter"/>
      <w:lvlText w:val="%1)"/>
      <w:lvlJc w:val="left"/>
      <w:pPr>
        <w:ind w:left="1236" w:hanging="419"/>
        <w:jc w:val="left"/>
      </w:pPr>
      <w:rPr>
        <w:rFonts w:hint="default" w:ascii="宋体" w:hAnsi="宋体" w:eastAsia="宋体" w:cs="宋体"/>
        <w:b w:val="0"/>
        <w:bCs w:val="0"/>
        <w:i w:val="0"/>
        <w:iCs w:val="0"/>
        <w:w w:val="100"/>
        <w:sz w:val="21"/>
        <w:szCs w:val="21"/>
        <w:lang w:val="en-US" w:eastAsia="zh-CN" w:bidi="ar-SA"/>
      </w:rPr>
    </w:lvl>
    <w:lvl w:ilvl="1" w:tentative="0">
      <w:start w:val="0"/>
      <w:numFmt w:val="bullet"/>
      <w:lvlText w:val="•"/>
      <w:lvlJc w:val="left"/>
      <w:pPr>
        <w:ind w:left="2204" w:hanging="419"/>
      </w:pPr>
      <w:rPr>
        <w:rFonts w:hint="default"/>
        <w:lang w:val="en-US" w:eastAsia="zh-CN" w:bidi="ar-SA"/>
      </w:rPr>
    </w:lvl>
    <w:lvl w:ilvl="2" w:tentative="0">
      <w:start w:val="0"/>
      <w:numFmt w:val="bullet"/>
      <w:lvlText w:val="•"/>
      <w:lvlJc w:val="left"/>
      <w:pPr>
        <w:ind w:left="3168" w:hanging="419"/>
      </w:pPr>
      <w:rPr>
        <w:rFonts w:hint="default"/>
        <w:lang w:val="en-US" w:eastAsia="zh-CN" w:bidi="ar-SA"/>
      </w:rPr>
    </w:lvl>
    <w:lvl w:ilvl="3" w:tentative="0">
      <w:start w:val="0"/>
      <w:numFmt w:val="bullet"/>
      <w:lvlText w:val="•"/>
      <w:lvlJc w:val="left"/>
      <w:pPr>
        <w:ind w:left="4133" w:hanging="419"/>
      </w:pPr>
      <w:rPr>
        <w:rFonts w:hint="default"/>
        <w:lang w:val="en-US" w:eastAsia="zh-CN" w:bidi="ar-SA"/>
      </w:rPr>
    </w:lvl>
    <w:lvl w:ilvl="4" w:tentative="0">
      <w:start w:val="0"/>
      <w:numFmt w:val="bullet"/>
      <w:lvlText w:val="•"/>
      <w:lvlJc w:val="left"/>
      <w:pPr>
        <w:ind w:left="5097" w:hanging="419"/>
      </w:pPr>
      <w:rPr>
        <w:rFonts w:hint="default"/>
        <w:lang w:val="en-US" w:eastAsia="zh-CN" w:bidi="ar-SA"/>
      </w:rPr>
    </w:lvl>
    <w:lvl w:ilvl="5" w:tentative="0">
      <w:start w:val="0"/>
      <w:numFmt w:val="bullet"/>
      <w:lvlText w:val="•"/>
      <w:lvlJc w:val="left"/>
      <w:pPr>
        <w:ind w:left="6062" w:hanging="419"/>
      </w:pPr>
      <w:rPr>
        <w:rFonts w:hint="default"/>
        <w:lang w:val="en-US" w:eastAsia="zh-CN" w:bidi="ar-SA"/>
      </w:rPr>
    </w:lvl>
    <w:lvl w:ilvl="6" w:tentative="0">
      <w:start w:val="0"/>
      <w:numFmt w:val="bullet"/>
      <w:lvlText w:val="•"/>
      <w:lvlJc w:val="left"/>
      <w:pPr>
        <w:ind w:left="7026" w:hanging="419"/>
      </w:pPr>
      <w:rPr>
        <w:rFonts w:hint="default"/>
        <w:lang w:val="en-US" w:eastAsia="zh-CN" w:bidi="ar-SA"/>
      </w:rPr>
    </w:lvl>
    <w:lvl w:ilvl="7" w:tentative="0">
      <w:start w:val="0"/>
      <w:numFmt w:val="bullet"/>
      <w:lvlText w:val="•"/>
      <w:lvlJc w:val="left"/>
      <w:pPr>
        <w:ind w:left="7991" w:hanging="419"/>
      </w:pPr>
      <w:rPr>
        <w:rFonts w:hint="default"/>
        <w:lang w:val="en-US" w:eastAsia="zh-CN" w:bidi="ar-SA"/>
      </w:rPr>
    </w:lvl>
    <w:lvl w:ilvl="8" w:tentative="0">
      <w:start w:val="0"/>
      <w:numFmt w:val="bullet"/>
      <w:lvlText w:val="•"/>
      <w:lvlJc w:val="left"/>
      <w:pPr>
        <w:ind w:left="8955" w:hanging="419"/>
      </w:pPr>
      <w:rPr>
        <w:rFonts w:hint="default"/>
        <w:lang w:val="en-US" w:eastAsia="zh-CN" w:bidi="ar-SA"/>
      </w:rPr>
    </w:lvl>
  </w:abstractNum>
  <w:abstractNum w:abstractNumId="3">
    <w:nsid w:val="0053208E"/>
    <w:multiLevelType w:val="multilevel"/>
    <w:tmpl w:val="0053208E"/>
    <w:lvl w:ilvl="0" w:tentative="0">
      <w:start w:val="1"/>
      <w:numFmt w:val="decimal"/>
      <w:lvlText w:val="%1"/>
      <w:lvlJc w:val="left"/>
      <w:pPr>
        <w:ind w:left="713" w:hanging="316"/>
        <w:jc w:val="right"/>
      </w:pPr>
      <w:rPr>
        <w:rFonts w:hint="default" w:ascii="黑体" w:hAnsi="黑体" w:eastAsia="黑体" w:cs="黑体"/>
        <w:b w:val="0"/>
        <w:bCs w:val="0"/>
        <w:i w:val="0"/>
        <w:iCs w:val="0"/>
        <w:w w:val="100"/>
        <w:sz w:val="21"/>
        <w:szCs w:val="21"/>
        <w:lang w:val="en-US" w:eastAsia="zh-CN" w:bidi="ar-SA"/>
      </w:rPr>
    </w:lvl>
    <w:lvl w:ilvl="1" w:tentative="0">
      <w:start w:val="1"/>
      <w:numFmt w:val="decimal"/>
      <w:lvlText w:val="%1.%2"/>
      <w:lvlJc w:val="left"/>
      <w:pPr>
        <w:ind w:left="639" w:hanging="526"/>
        <w:jc w:val="right"/>
      </w:pPr>
      <w:rPr>
        <w:rFonts w:hint="default" w:ascii="黑体" w:hAnsi="黑体" w:eastAsia="黑体" w:cs="黑体"/>
        <w:b w:val="0"/>
        <w:bCs w:val="0"/>
        <w:i w:val="0"/>
        <w:iCs w:val="0"/>
        <w:spacing w:val="-1"/>
        <w:w w:val="100"/>
        <w:sz w:val="21"/>
        <w:szCs w:val="21"/>
        <w:lang w:val="en-US" w:eastAsia="zh-CN" w:bidi="ar-SA"/>
      </w:rPr>
    </w:lvl>
    <w:lvl w:ilvl="2" w:tentative="0">
      <w:start w:val="1"/>
      <w:numFmt w:val="decimal"/>
      <w:lvlText w:val="%1.%2.%3"/>
      <w:lvlJc w:val="left"/>
      <w:pPr>
        <w:ind w:left="849" w:hanging="736"/>
        <w:jc w:val="left"/>
      </w:pPr>
      <w:rPr>
        <w:rFonts w:hint="default" w:ascii="黑体" w:hAnsi="黑体" w:eastAsia="黑体" w:cs="黑体"/>
        <w:b w:val="0"/>
        <w:bCs w:val="0"/>
        <w:i w:val="0"/>
        <w:iCs w:val="0"/>
        <w:spacing w:val="-1"/>
        <w:w w:val="100"/>
        <w:sz w:val="21"/>
        <w:szCs w:val="21"/>
        <w:lang w:val="en-US" w:eastAsia="zh-CN" w:bidi="ar-SA"/>
      </w:rPr>
    </w:lvl>
    <w:lvl w:ilvl="3" w:tentative="0">
      <w:start w:val="1"/>
      <w:numFmt w:val="lowerLetter"/>
      <w:lvlText w:val="%4)"/>
      <w:lvlJc w:val="left"/>
      <w:pPr>
        <w:ind w:left="954" w:hanging="420"/>
        <w:jc w:val="left"/>
      </w:pPr>
      <w:rPr>
        <w:rFonts w:hint="default" w:ascii="宋体" w:hAnsi="宋体" w:eastAsia="宋体" w:cs="宋体"/>
        <w:b w:val="0"/>
        <w:bCs w:val="0"/>
        <w:i w:val="0"/>
        <w:iCs w:val="0"/>
        <w:w w:val="100"/>
        <w:sz w:val="21"/>
        <w:szCs w:val="21"/>
        <w:lang w:val="en-US" w:eastAsia="zh-CN" w:bidi="ar-SA"/>
      </w:rPr>
    </w:lvl>
    <w:lvl w:ilvl="4" w:tentative="0">
      <w:start w:val="0"/>
      <w:numFmt w:val="bullet"/>
      <w:lvlText w:val="•"/>
      <w:lvlJc w:val="left"/>
      <w:pPr>
        <w:ind w:left="840" w:hanging="420"/>
      </w:pPr>
      <w:rPr>
        <w:rFonts w:hint="default"/>
        <w:lang w:val="en-US" w:eastAsia="zh-CN" w:bidi="ar-SA"/>
      </w:rPr>
    </w:lvl>
    <w:lvl w:ilvl="5" w:tentative="0">
      <w:start w:val="0"/>
      <w:numFmt w:val="bullet"/>
      <w:lvlText w:val="•"/>
      <w:lvlJc w:val="left"/>
      <w:pPr>
        <w:ind w:left="920" w:hanging="420"/>
      </w:pPr>
      <w:rPr>
        <w:rFonts w:hint="default"/>
        <w:lang w:val="en-US" w:eastAsia="zh-CN" w:bidi="ar-SA"/>
      </w:rPr>
    </w:lvl>
    <w:lvl w:ilvl="6" w:tentative="0">
      <w:start w:val="0"/>
      <w:numFmt w:val="bullet"/>
      <w:lvlText w:val="•"/>
      <w:lvlJc w:val="left"/>
      <w:pPr>
        <w:ind w:left="960" w:hanging="420"/>
      </w:pPr>
      <w:rPr>
        <w:rFonts w:hint="default"/>
        <w:lang w:val="en-US" w:eastAsia="zh-CN" w:bidi="ar-SA"/>
      </w:rPr>
    </w:lvl>
    <w:lvl w:ilvl="7" w:tentative="0">
      <w:start w:val="0"/>
      <w:numFmt w:val="bullet"/>
      <w:lvlText w:val="•"/>
      <w:lvlJc w:val="left"/>
      <w:pPr>
        <w:ind w:left="1140" w:hanging="420"/>
      </w:pPr>
      <w:rPr>
        <w:rFonts w:hint="default"/>
        <w:lang w:val="en-US" w:eastAsia="zh-CN" w:bidi="ar-SA"/>
      </w:rPr>
    </w:lvl>
    <w:lvl w:ilvl="8" w:tentative="0">
      <w:start w:val="0"/>
      <w:numFmt w:val="bullet"/>
      <w:lvlText w:val="•"/>
      <w:lvlJc w:val="left"/>
      <w:pPr>
        <w:ind w:left="1240" w:hanging="420"/>
      </w:pPr>
      <w:rPr>
        <w:rFonts w:hint="default"/>
        <w:lang w:val="en-US" w:eastAsia="zh-CN" w:bidi="ar-SA"/>
      </w:rPr>
    </w:lvl>
  </w:abstractNum>
  <w:abstractNum w:abstractNumId="4">
    <w:nsid w:val="59ADCABA"/>
    <w:multiLevelType w:val="multilevel"/>
    <w:tmpl w:val="59ADCABA"/>
    <w:lvl w:ilvl="0" w:tentative="0">
      <w:start w:val="1"/>
      <w:numFmt w:val="lowerLetter"/>
      <w:lvlText w:val="%1)"/>
      <w:lvlJc w:val="left"/>
      <w:pPr>
        <w:ind w:left="1237" w:hanging="420"/>
        <w:jc w:val="left"/>
      </w:pPr>
      <w:rPr>
        <w:rFonts w:hint="default" w:ascii="宋体" w:hAnsi="宋体" w:eastAsia="宋体" w:cs="宋体"/>
        <w:b w:val="0"/>
        <w:bCs w:val="0"/>
        <w:i w:val="0"/>
        <w:iCs w:val="0"/>
        <w:w w:val="100"/>
        <w:sz w:val="21"/>
        <w:szCs w:val="21"/>
        <w:lang w:val="en-US" w:eastAsia="zh-CN" w:bidi="ar-SA"/>
      </w:rPr>
    </w:lvl>
    <w:lvl w:ilvl="1" w:tentative="0">
      <w:start w:val="0"/>
      <w:numFmt w:val="bullet"/>
      <w:lvlText w:val="•"/>
      <w:lvlJc w:val="left"/>
      <w:pPr>
        <w:ind w:left="2204" w:hanging="420"/>
      </w:pPr>
      <w:rPr>
        <w:rFonts w:hint="default"/>
        <w:lang w:val="en-US" w:eastAsia="zh-CN" w:bidi="ar-SA"/>
      </w:rPr>
    </w:lvl>
    <w:lvl w:ilvl="2" w:tentative="0">
      <w:start w:val="0"/>
      <w:numFmt w:val="bullet"/>
      <w:lvlText w:val="•"/>
      <w:lvlJc w:val="left"/>
      <w:pPr>
        <w:ind w:left="3168" w:hanging="420"/>
      </w:pPr>
      <w:rPr>
        <w:rFonts w:hint="default"/>
        <w:lang w:val="en-US" w:eastAsia="zh-CN" w:bidi="ar-SA"/>
      </w:rPr>
    </w:lvl>
    <w:lvl w:ilvl="3" w:tentative="0">
      <w:start w:val="0"/>
      <w:numFmt w:val="bullet"/>
      <w:lvlText w:val="•"/>
      <w:lvlJc w:val="left"/>
      <w:pPr>
        <w:ind w:left="4133" w:hanging="420"/>
      </w:pPr>
      <w:rPr>
        <w:rFonts w:hint="default"/>
        <w:lang w:val="en-US" w:eastAsia="zh-CN" w:bidi="ar-SA"/>
      </w:rPr>
    </w:lvl>
    <w:lvl w:ilvl="4" w:tentative="0">
      <w:start w:val="0"/>
      <w:numFmt w:val="bullet"/>
      <w:lvlText w:val="•"/>
      <w:lvlJc w:val="left"/>
      <w:pPr>
        <w:ind w:left="5097" w:hanging="420"/>
      </w:pPr>
      <w:rPr>
        <w:rFonts w:hint="default"/>
        <w:lang w:val="en-US" w:eastAsia="zh-CN" w:bidi="ar-SA"/>
      </w:rPr>
    </w:lvl>
    <w:lvl w:ilvl="5" w:tentative="0">
      <w:start w:val="0"/>
      <w:numFmt w:val="bullet"/>
      <w:lvlText w:val="•"/>
      <w:lvlJc w:val="left"/>
      <w:pPr>
        <w:ind w:left="6062" w:hanging="420"/>
      </w:pPr>
      <w:rPr>
        <w:rFonts w:hint="default"/>
        <w:lang w:val="en-US" w:eastAsia="zh-CN" w:bidi="ar-SA"/>
      </w:rPr>
    </w:lvl>
    <w:lvl w:ilvl="6" w:tentative="0">
      <w:start w:val="0"/>
      <w:numFmt w:val="bullet"/>
      <w:lvlText w:val="•"/>
      <w:lvlJc w:val="left"/>
      <w:pPr>
        <w:ind w:left="7026" w:hanging="420"/>
      </w:pPr>
      <w:rPr>
        <w:rFonts w:hint="default"/>
        <w:lang w:val="en-US" w:eastAsia="zh-CN" w:bidi="ar-SA"/>
      </w:rPr>
    </w:lvl>
    <w:lvl w:ilvl="7" w:tentative="0">
      <w:start w:val="0"/>
      <w:numFmt w:val="bullet"/>
      <w:lvlText w:val="•"/>
      <w:lvlJc w:val="left"/>
      <w:pPr>
        <w:ind w:left="7991" w:hanging="420"/>
      </w:pPr>
      <w:rPr>
        <w:rFonts w:hint="default"/>
        <w:lang w:val="en-US" w:eastAsia="zh-CN" w:bidi="ar-SA"/>
      </w:rPr>
    </w:lvl>
    <w:lvl w:ilvl="8" w:tentative="0">
      <w:start w:val="0"/>
      <w:numFmt w:val="bullet"/>
      <w:lvlText w:val="•"/>
      <w:lvlJc w:val="left"/>
      <w:pPr>
        <w:ind w:left="8955" w:hanging="420"/>
      </w:pPr>
      <w:rPr>
        <w:rFonts w:hint="default"/>
        <w:lang w:val="en-US" w:eastAsia="zh-CN" w:bidi="ar-S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YWU0ZGQ5OTg0MWU4NWQyODRhOTY0YjQ1NWI2ZjcxY2QifQ=="/>
  </w:docVars>
  <w:rsids>
    <w:rsidRoot w:val="00000000"/>
    <w:rsid w:val="067E7416"/>
    <w:rsid w:val="08DD7124"/>
    <w:rsid w:val="10511A68"/>
    <w:rsid w:val="14907A7F"/>
    <w:rsid w:val="1AB32F4A"/>
    <w:rsid w:val="2721285E"/>
    <w:rsid w:val="3FB51298"/>
    <w:rsid w:val="4FF4157B"/>
    <w:rsid w:val="5E556651"/>
    <w:rsid w:val="6E5559DD"/>
    <w:rsid w:val="7B8D3A21"/>
    <w:rsid w:val="7F4E2D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spacing w:before="56"/>
      <w:ind w:right="733"/>
      <w:jc w:val="center"/>
      <w:outlineLvl w:val="1"/>
    </w:pPr>
    <w:rPr>
      <w:rFonts w:ascii="黑体" w:hAnsi="黑体" w:eastAsia="黑体" w:cs="黑体"/>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21"/>
      <w:szCs w:val="21"/>
      <w:lang w:val="en-US" w:eastAsia="zh-CN" w:bidi="ar-SA"/>
    </w:rPr>
  </w:style>
  <w:style w:type="paragraph" w:styleId="4">
    <w:name w:val="footer"/>
    <w:qFormat/>
    <w:uiPriority w:val="0"/>
    <w:pPr>
      <w:widowControl w:val="0"/>
      <w:tabs>
        <w:tab w:val="center" w:pos="4153"/>
        <w:tab w:val="right" w:pos="8306"/>
      </w:tabs>
      <w:autoSpaceDE w:val="0"/>
      <w:autoSpaceDN w:val="0"/>
      <w:snapToGrid w:val="0"/>
      <w:spacing w:before="0" w:after="0" w:line="240" w:lineRule="auto"/>
      <w:ind w:left="0" w:right="0"/>
      <w:jc w:val="left"/>
    </w:pPr>
    <w:rPr>
      <w:rFonts w:ascii="宋体" w:hAnsi="宋体" w:eastAsia="宋体" w:cs="宋体"/>
      <w:sz w:val="18"/>
      <w:szCs w:val="22"/>
      <w:lang w:val="fr-FR" w:eastAsia="en-US" w:bidi="ar-SA"/>
    </w:rPr>
  </w:style>
  <w:style w:type="paragraph" w:styleId="5">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autoSpaceDE w:val="0"/>
      <w:autoSpaceDN w:val="0"/>
      <w:snapToGrid w:val="0"/>
      <w:spacing w:before="0" w:after="0" w:line="240" w:lineRule="auto"/>
      <w:ind w:left="0" w:right="0"/>
      <w:jc w:val="both"/>
      <w:outlineLvl w:val="9"/>
    </w:pPr>
    <w:rPr>
      <w:rFonts w:ascii="宋体" w:hAnsi="宋体" w:eastAsia="宋体" w:cs="宋体"/>
      <w:sz w:val="18"/>
      <w:szCs w:val="22"/>
      <w:lang w:val="fr-FR" w:eastAsia="en-US" w:bidi="ar-SA"/>
    </w:rPr>
  </w:style>
  <w:style w:type="paragraph" w:styleId="6">
    <w:name w:val="Title"/>
    <w:qFormat/>
    <w:uiPriority w:val="1"/>
    <w:pPr>
      <w:widowControl w:val="0"/>
      <w:autoSpaceDE w:val="0"/>
      <w:autoSpaceDN w:val="0"/>
      <w:spacing w:before="418" w:after="0" w:line="240" w:lineRule="auto"/>
      <w:ind w:left="2447" w:right="1457"/>
      <w:jc w:val="center"/>
    </w:pPr>
    <w:rPr>
      <w:rFonts w:ascii="Times New Roman" w:hAnsi="Times New Roman" w:eastAsia="Times New Roman" w:cs="Times New Roman"/>
      <w:b/>
      <w:bCs/>
      <w:sz w:val="96"/>
      <w:szCs w:val="96"/>
      <w:lang w:val="fr-FR" w:eastAsia="en-US"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spacing w:before="43"/>
      <w:ind w:left="849" w:hanging="736"/>
    </w:pPr>
    <w:rPr>
      <w:rFonts w:ascii="宋体" w:hAnsi="宋体" w:eastAsia="宋体" w:cs="宋体"/>
      <w:lang w:val="en-US" w:eastAsia="zh-CN" w:bidi="ar-SA"/>
    </w:rPr>
  </w:style>
  <w:style w:type="paragraph" w:customStyle="1" w:styleId="11">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2051"/>
    <customShpInfo spid="_x0000_s2050"/>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3722</Words>
  <Characters>4060</Characters>
  <TotalTime>3</TotalTime>
  <ScaleCrop>false</ScaleCrop>
  <LinksUpToDate>false</LinksUpToDate>
  <CharactersWithSpaces>4261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2023-08-22T08:11:00Z</dcterms:created>
  <dc:creator>lenovo</dc:creator>
  <cp:lastModifiedBy>内蒙古会展经济发展研究会李淑玲</cp:lastModifiedBy>
  <cp:lastPrinted>2023-09-11T04:28:00Z</cp:lastPrinted>
  <dcterms:modified xsi:type="dcterms:W3CDTF">2024-05-20T07:24:41Z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2023-08-22T00:00:00Z</vt:filetime>
  </property>
  <property fmtid="{D5CDD505-2E9C-101B-9397-08002B2CF9AE}" pid="3" name="Creator">
    <vt:lpwstr>Aspose Ltd.</vt:lpwstr>
  </property>
  <property fmtid="{D5CDD505-2E9C-101B-9397-08002B2CF9AE}" pid="4" name="LastSaved">
    <vt:filetime>2023-08-22T00:00:00Z</vt:filetime>
  </property>
  <property fmtid="{D5CDD505-2E9C-101B-9397-08002B2CF9AE}" pid="5" name="KSOProductBuildVer">
    <vt:lpwstr>2052-12.1.0.16929</vt:lpwstr>
  </property>
  <property fmtid="{D5CDD505-2E9C-101B-9397-08002B2CF9AE}" pid="6" name="ICV">
    <vt:lpwstr>F67B1E298436435291B93597E72DAA16_12</vt:lpwstr>
  </property>
</Properties>
</file>