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80"/>
        </w:tabs>
        <w:autoSpaceDE/>
        <w:autoSpaceDN/>
        <w:spacing w:before="0" w:after="0" w:line="256" w:lineRule="exact"/>
        <w:ind w:left="0" w:right="0"/>
        <w:jc w:val="left"/>
        <w:rPr>
          <w:rFonts w:hint="eastAsia" w:ascii="Times New Roman" w:hAnsi="Times New Roman" w:eastAsia="黑体" w:cs="Times New Roman"/>
          <w:sz w:val="20"/>
          <w:szCs w:val="20"/>
          <w:lang w:val="en-US" w:eastAsia="zh-CN"/>
        </w:rPr>
      </w:pPr>
      <w:bookmarkStart w:id="0" w:name="page1"/>
      <w:bookmarkEnd w:id="0"/>
      <w:r>
        <w:rPr>
          <w:rFonts w:ascii="Times New Roman" w:hAnsi="Times New Roman" w:eastAsia="Times New Roman" w:cs="Times New Roman"/>
          <w:sz w:val="21"/>
          <w:szCs w:val="21"/>
          <w:lang w:val="en-US" w:eastAsia="en-US"/>
        </w:rPr>
        <w:t>ICS</w:t>
      </w:r>
      <w:r>
        <w:rPr>
          <w:rFonts w:ascii="Times New Roman" w:hAnsi="Times New Roman" w:cs="Times New Roman" w:eastAsiaTheme="minorEastAsia"/>
          <w:sz w:val="20"/>
          <w:szCs w:val="20"/>
          <w:lang w:val="en-US" w:eastAsia="en-US"/>
        </w:rPr>
        <w:tab/>
      </w:r>
      <w:r>
        <w:rPr>
          <w:rFonts w:hint="eastAsia" w:ascii="黑体" w:hAnsi="黑体" w:eastAsia="黑体" w:cs="黑体"/>
          <w:sz w:val="21"/>
          <w:szCs w:val="21"/>
          <w:lang w:val="en-US" w:eastAsia="zh-CN"/>
        </w:rPr>
        <w:t>XX</w:t>
      </w:r>
      <w:r>
        <w:rPr>
          <w:rFonts w:ascii="黑体" w:hAnsi="黑体" w:eastAsia="黑体" w:cs="黑体"/>
          <w:sz w:val="21"/>
          <w:szCs w:val="21"/>
          <w:lang w:val="en-US" w:eastAsia="en-US"/>
        </w:rPr>
        <w:t>.</w:t>
      </w:r>
      <w:r>
        <w:rPr>
          <w:rFonts w:hint="eastAsia" w:ascii="黑体" w:hAnsi="黑体" w:eastAsia="黑体" w:cs="黑体"/>
          <w:sz w:val="21"/>
          <w:szCs w:val="21"/>
          <w:lang w:val="en-US" w:eastAsia="zh-CN"/>
        </w:rPr>
        <w:t>XXX</w:t>
      </w:r>
      <w:r>
        <w:rPr>
          <w:rFonts w:ascii="黑体" w:hAnsi="黑体" w:eastAsia="黑体" w:cs="黑体"/>
          <w:sz w:val="21"/>
          <w:szCs w:val="21"/>
          <w:lang w:val="en-US" w:eastAsia="en-US"/>
        </w:rPr>
        <w:t>.</w:t>
      </w:r>
      <w:r>
        <w:rPr>
          <w:rFonts w:hint="eastAsia" w:ascii="黑体" w:hAnsi="黑体" w:eastAsia="黑体" w:cs="黑体"/>
          <w:sz w:val="21"/>
          <w:szCs w:val="21"/>
          <w:lang w:val="en-US" w:eastAsia="zh-CN"/>
        </w:rPr>
        <w:t>XX</w:t>
      </w:r>
    </w:p>
    <w:p>
      <w:pPr>
        <w:widowControl/>
        <w:autoSpaceDE/>
        <w:autoSpaceDN/>
        <w:spacing w:before="0" w:after="0" w:line="100" w:lineRule="exact"/>
        <w:ind w:left="0" w:right="0"/>
        <w:jc w:val="left"/>
        <w:rPr>
          <w:rFonts w:ascii="Times New Roman" w:hAnsi="Times New Roman" w:eastAsia="Times New Roman" w:cs="Times New Roman"/>
          <w:sz w:val="24"/>
          <w:szCs w:val="24"/>
          <w:lang w:val="en-US" w:eastAsia="en-US"/>
        </w:rPr>
      </w:pPr>
    </w:p>
    <w:p>
      <w:pPr>
        <w:widowControl/>
        <w:autoSpaceDE/>
        <w:autoSpaceDN/>
        <w:spacing w:before="0" w:after="0" w:line="256" w:lineRule="exact"/>
        <w:ind w:left="0" w:right="0"/>
        <w:jc w:val="left"/>
        <w:rPr>
          <w:rFonts w:hint="eastAsia" w:ascii="黑体" w:hAnsi="黑体" w:eastAsia="黑体" w:cs="黑体"/>
          <w:sz w:val="21"/>
          <w:szCs w:val="21"/>
          <w:lang w:val="en-US" w:eastAsia="zh-CN"/>
        </w:rPr>
      </w:pPr>
      <w:r>
        <w:rPr>
          <w:rFonts w:ascii="Times New Roman" w:hAnsi="Times New Roman" w:eastAsia="Times New Roman" w:cs="Times New Roman"/>
          <w:sz w:val="21"/>
          <w:szCs w:val="21"/>
          <w:lang w:val="en-US" w:eastAsia="en-US"/>
        </w:rPr>
        <w:t xml:space="preserve">CCS  </w:t>
      </w:r>
      <w:r>
        <w:rPr>
          <w:rFonts w:hint="eastAsia" w:ascii="黑体" w:hAnsi="黑体" w:eastAsia="黑体" w:cs="黑体"/>
          <w:sz w:val="21"/>
          <w:szCs w:val="21"/>
          <w:lang w:val="en-US" w:eastAsia="zh-CN"/>
        </w:rPr>
        <w:t xml:space="preserve">XXX   </w:t>
      </w:r>
    </w:p>
    <w:p>
      <w:pPr>
        <w:widowControl/>
        <w:autoSpaceDE/>
        <w:autoSpaceDN/>
        <w:spacing w:before="0" w:after="0" w:line="240" w:lineRule="auto"/>
        <w:ind w:right="0" w:firstLine="6746" w:firstLineChars="700"/>
        <w:jc w:val="left"/>
        <w:rPr>
          <w:rFonts w:ascii="Times New Roman" w:hAnsi="Times New Roman" w:eastAsia="Times New Roman" w:cs="Times New Roman"/>
          <w:sz w:val="20"/>
          <w:szCs w:val="20"/>
          <w:lang w:val="en-US" w:eastAsia="en-US"/>
        </w:rPr>
      </w:pPr>
      <w:r>
        <w:rPr>
          <w:rFonts w:hint="eastAsia" w:ascii="Times New Roman" w:hAnsi="Times New Roman" w:cs="Times New Roman"/>
          <w:b/>
          <w:bCs/>
          <w:sz w:val="96"/>
          <w:szCs w:val="96"/>
          <w:lang w:val="en-US" w:eastAsia="zh-CN"/>
        </w:rPr>
        <w:t>T/</w:t>
      </w:r>
      <w:r>
        <w:rPr>
          <w:rFonts w:ascii="Times New Roman" w:hAnsi="Times New Roman" w:eastAsia="Times New Roman" w:cs="Times New Roman"/>
          <w:b/>
          <w:bCs/>
          <w:sz w:val="96"/>
          <w:szCs w:val="96"/>
          <w:lang w:val="en-US" w:eastAsia="en-US"/>
        </w:rPr>
        <w:t>IMAS</w:t>
      </w:r>
    </w:p>
    <w:p>
      <w:pPr>
        <w:widowControl/>
        <w:autoSpaceDE/>
        <w:autoSpaceDN/>
        <w:spacing w:before="0" w:after="0" w:line="20" w:lineRule="exact"/>
        <w:ind w:left="0" w:right="0"/>
        <w:jc w:val="left"/>
        <w:rPr>
          <w:rFonts w:ascii="Times New Roman" w:hAnsi="Times New Roman" w:eastAsia="Times New Roman" w:cs="Times New Roman"/>
          <w:sz w:val="24"/>
          <w:szCs w:val="24"/>
          <w:lang w:val="en-US" w:eastAsia="en-US"/>
        </w:rPr>
      </w:pPr>
    </w:p>
    <w:p>
      <w:pPr>
        <w:widowControl/>
        <w:autoSpaceDE/>
        <w:autoSpaceDN/>
        <w:spacing w:before="0" w:after="0" w:line="18" w:lineRule="exact"/>
        <w:ind w:left="0" w:right="0"/>
        <w:jc w:val="left"/>
        <w:rPr>
          <w:rFonts w:ascii="Times New Roman" w:hAnsi="Times New Roman" w:eastAsia="Times New Roman" w:cs="Times New Roman"/>
          <w:sz w:val="24"/>
          <w:szCs w:val="24"/>
          <w:lang w:val="en-US" w:eastAsia="en-US"/>
        </w:rPr>
      </w:pPr>
    </w:p>
    <w:p>
      <w:pPr>
        <w:widowControl/>
        <w:tabs>
          <w:tab w:val="left" w:pos="6960"/>
          <w:tab w:val="left" w:pos="8000"/>
          <w:tab w:val="left" w:pos="9060"/>
        </w:tabs>
        <w:autoSpaceDE/>
        <w:autoSpaceDN/>
        <w:spacing w:before="0" w:after="0" w:line="548" w:lineRule="exact"/>
        <w:ind w:left="5920" w:right="0" w:firstLine="2400" w:firstLineChars="500"/>
        <w:jc w:val="left"/>
        <w:rPr>
          <w:rFonts w:ascii="Times New Roman" w:hAnsi="Times New Roman" w:eastAsia="Times New Roman" w:cs="Times New Roman"/>
          <w:sz w:val="20"/>
          <w:szCs w:val="20"/>
          <w:lang w:val="en-US" w:eastAsia="en-US"/>
        </w:rPr>
      </w:pPr>
      <w:r>
        <w:rPr>
          <w:rFonts w:ascii="黑体" w:hAnsi="黑体" w:eastAsia="黑体" w:cs="黑体"/>
          <w:sz w:val="48"/>
          <w:szCs w:val="48"/>
          <w:lang w:val="en-US" w:eastAsia="en-US"/>
        </w:rPr>
        <w:t>团</w:t>
      </w:r>
      <w:r>
        <w:rPr>
          <w:rFonts w:hint="eastAsia" w:ascii="黑体" w:hAnsi="黑体" w:eastAsia="黑体" w:cs="黑体"/>
          <w:sz w:val="48"/>
          <w:szCs w:val="48"/>
          <w:lang w:val="en-US" w:eastAsia="zh-CN"/>
        </w:rPr>
        <w:t xml:space="preserve"> </w:t>
      </w:r>
      <w:r>
        <w:rPr>
          <w:rFonts w:ascii="黑体" w:hAnsi="黑体" w:eastAsia="黑体" w:cs="黑体"/>
          <w:sz w:val="48"/>
          <w:szCs w:val="48"/>
          <w:lang w:val="en-US" w:eastAsia="en-US"/>
        </w:rPr>
        <w:t>体</w:t>
      </w:r>
      <w:r>
        <w:rPr>
          <w:rFonts w:hint="eastAsia" w:ascii="黑体" w:hAnsi="黑体" w:eastAsia="黑体" w:cs="黑体"/>
          <w:sz w:val="48"/>
          <w:szCs w:val="48"/>
          <w:lang w:val="en-US" w:eastAsia="zh-CN"/>
        </w:rPr>
        <w:t xml:space="preserve"> </w:t>
      </w:r>
      <w:r>
        <w:rPr>
          <w:rFonts w:ascii="黑体" w:hAnsi="黑体" w:eastAsia="黑体" w:cs="黑体"/>
          <w:sz w:val="48"/>
          <w:szCs w:val="48"/>
          <w:lang w:val="en-US" w:eastAsia="en-US"/>
        </w:rPr>
        <w:t>标</w:t>
      </w:r>
      <w:r>
        <w:rPr>
          <w:rFonts w:hint="eastAsia" w:ascii="黑体" w:hAnsi="黑体" w:eastAsia="黑体" w:cs="黑体"/>
          <w:sz w:val="48"/>
          <w:szCs w:val="48"/>
          <w:lang w:val="en-US" w:eastAsia="zh-CN"/>
        </w:rPr>
        <w:t xml:space="preserve"> </w:t>
      </w:r>
      <w:r>
        <w:rPr>
          <w:rFonts w:ascii="黑体" w:hAnsi="黑体" w:eastAsia="黑体" w:cs="黑体"/>
          <w:sz w:val="48"/>
          <w:szCs w:val="48"/>
          <w:lang w:val="en-US" w:eastAsia="en-US"/>
        </w:rPr>
        <w:t>准</w:t>
      </w:r>
    </w:p>
    <w:p>
      <w:pPr>
        <w:widowControl/>
        <w:autoSpaceDE/>
        <w:autoSpaceDN/>
        <w:spacing w:before="0" w:after="0" w:line="200" w:lineRule="exact"/>
        <w:ind w:left="0" w:right="0"/>
        <w:jc w:val="left"/>
        <w:rPr>
          <w:rFonts w:ascii="Times New Roman" w:hAnsi="Times New Roman" w:eastAsia="Times New Roman" w:cs="Times New Roman"/>
          <w:sz w:val="24"/>
          <w:szCs w:val="24"/>
          <w:lang w:val="en-US" w:eastAsia="en-US"/>
        </w:rPr>
      </w:pPr>
    </w:p>
    <w:p>
      <w:pPr>
        <w:widowControl/>
        <w:autoSpaceDE/>
        <w:autoSpaceDN/>
        <w:spacing w:before="0" w:after="0" w:line="205" w:lineRule="exact"/>
        <w:ind w:left="0" w:right="0"/>
        <w:jc w:val="left"/>
        <w:rPr>
          <w:rFonts w:ascii="Times New Roman" w:hAnsi="Times New Roman" w:eastAsia="Times New Roman" w:cs="Times New Roman"/>
          <w:sz w:val="24"/>
          <w:szCs w:val="24"/>
          <w:lang w:val="en-US" w:eastAsia="en-US"/>
        </w:rPr>
      </w:pPr>
    </w:p>
    <w:p>
      <w:pPr>
        <w:widowControl/>
        <w:autoSpaceDE/>
        <w:autoSpaceDN/>
        <w:spacing w:before="0" w:after="0" w:line="320" w:lineRule="exact"/>
        <w:ind w:left="7160" w:right="0" w:firstLine="1400" w:firstLineChars="500"/>
        <w:jc w:val="left"/>
        <w:rPr>
          <w:rFonts w:hint="eastAsia" w:ascii="黑体" w:hAnsi="宋体" w:eastAsia="宋体" w:cs="宋体"/>
          <w:sz w:val="20"/>
          <w:szCs w:val="21"/>
          <w:lang w:val="ca-ES" w:eastAsia="zh-CN" w:bidi="ar-SA"/>
        </w:rPr>
      </w:pPr>
      <w:r>
        <w:rPr>
          <w:rFonts w:ascii="黑体" w:hAnsi="黑体" w:eastAsia="黑体" w:cs="黑体"/>
          <w:sz w:val="28"/>
          <w:szCs w:val="28"/>
          <w:lang w:val="en-US" w:eastAsia="en-US"/>
        </w:rPr>
        <w:t>T/</w:t>
      </w:r>
      <w:r>
        <w:rPr>
          <w:rFonts w:hint="eastAsia" w:ascii="黑体" w:hAnsi="黑体" w:eastAsia="黑体" w:cs="黑体"/>
          <w:sz w:val="28"/>
          <w:szCs w:val="28"/>
          <w:lang w:val="en-US" w:eastAsia="zh-CN"/>
        </w:rPr>
        <w:t>IMAS</w:t>
      </w:r>
      <w:r>
        <w:rPr>
          <w:rFonts w:ascii="黑体" w:hAnsi="黑体" w:eastAsia="黑体" w:cs="黑体"/>
          <w:sz w:val="28"/>
          <w:szCs w:val="28"/>
          <w:lang w:val="en-US" w:eastAsia="en-US"/>
        </w:rPr>
        <w:t xml:space="preserve"> </w:t>
      </w:r>
      <w:r>
        <w:rPr>
          <w:rFonts w:hint="eastAsia" w:ascii="黑体" w:hAnsi="黑体" w:eastAsia="黑体" w:cs="黑体"/>
          <w:sz w:val="28"/>
          <w:szCs w:val="28"/>
          <w:lang w:val="en-US" w:eastAsia="zh-CN"/>
        </w:rPr>
        <w:t>XXX</w:t>
      </w:r>
      <w:r>
        <w:rPr>
          <w:rFonts w:ascii="黑体" w:hAnsi="黑体" w:eastAsia="黑体" w:cs="黑体"/>
          <w:sz w:val="28"/>
          <w:szCs w:val="28"/>
          <w:lang w:val="en-US" w:eastAsia="en-US"/>
        </w:rPr>
        <w:t>—202</w:t>
      </w:r>
      <w:r>
        <w:rPr>
          <w:rFonts w:hint="eastAsia" w:ascii="黑体" w:hAnsi="黑体" w:eastAsia="黑体" w:cs="黑体"/>
          <w:sz w:val="28"/>
          <w:szCs w:val="28"/>
          <w:lang w:val="en-US" w:eastAsia="zh-CN"/>
        </w:rPr>
        <w:t>4</w:t>
      </w:r>
    </w:p>
    <w:p>
      <w:pPr>
        <w:widowControl w:val="0"/>
        <w:autoSpaceDE w:val="0"/>
        <w:autoSpaceDN w:val="0"/>
        <w:spacing w:before="11" w:after="0" w:line="240" w:lineRule="auto"/>
        <w:ind w:left="0" w:right="0"/>
        <w:jc w:val="left"/>
        <w:rPr>
          <w:rFonts w:ascii="黑体" w:hAnsi="宋体" w:eastAsia="宋体" w:cs="宋体"/>
          <w:sz w:val="10"/>
          <w:szCs w:val="21"/>
          <w:lang w:val="ca-ES" w:eastAsia="en-US" w:bidi="ar-SA"/>
        </w:rPr>
      </w:pPr>
      <w:r>
        <w:rPr>
          <w:rFonts w:ascii="宋体" w:hAnsi="宋体" w:eastAsia="宋体" w:cs="宋体"/>
          <w:sz w:val="21"/>
          <w:szCs w:val="21"/>
          <w:lang w:val="ca-ES" w:eastAsia="en-US" w:bidi="ar-SA"/>
        </w:rPr>
        <w:drawing>
          <wp:anchor distT="0" distB="0" distL="0" distR="0" simplePos="0" relativeHeight="251672576" behindDoc="0" locked="0" layoutInCell="1" allowOverlap="1">
            <wp:simplePos x="0" y="0"/>
            <wp:positionH relativeFrom="page">
              <wp:posOffset>899160</wp:posOffset>
            </wp:positionH>
            <wp:positionV relativeFrom="paragraph">
              <wp:posOffset>103505</wp:posOffset>
            </wp:positionV>
            <wp:extent cx="6120130" cy="952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12" cstate="print"/>
                    <a:stretch>
                      <a:fillRect/>
                    </a:stretch>
                  </pic:blipFill>
                  <pic:spPr>
                    <a:xfrm>
                      <a:off x="0" y="0"/>
                      <a:ext cx="6120130" cy="9525"/>
                    </a:xfrm>
                    <a:prstGeom prst="rect">
                      <a:avLst/>
                    </a:prstGeom>
                  </pic:spPr>
                </pic:pic>
              </a:graphicData>
            </a:graphic>
          </wp:anchor>
        </w:drawing>
      </w:r>
    </w:p>
    <w:p>
      <w:pPr>
        <w:widowControl w:val="0"/>
        <w:autoSpaceDE w:val="0"/>
        <w:autoSpaceDN w:val="0"/>
        <w:spacing w:before="0" w:after="0" w:line="240" w:lineRule="auto"/>
        <w:ind w:left="0" w:right="0"/>
        <w:jc w:val="left"/>
        <w:rPr>
          <w:rFonts w:ascii="黑体" w:hAnsi="宋体" w:eastAsia="宋体" w:cs="宋体"/>
          <w:sz w:val="30"/>
          <w:szCs w:val="21"/>
          <w:lang w:val="ca-ES" w:eastAsia="en-US" w:bidi="ar-SA"/>
        </w:rPr>
      </w:pPr>
    </w:p>
    <w:p>
      <w:pPr>
        <w:pStyle w:val="3"/>
        <w:rPr>
          <w:rFonts w:ascii="黑体"/>
          <w:sz w:val="28"/>
        </w:rPr>
      </w:pPr>
    </w:p>
    <w:p>
      <w:pPr>
        <w:pStyle w:val="3"/>
        <w:rPr>
          <w:rFonts w:ascii="黑体"/>
          <w:sz w:val="28"/>
        </w:rPr>
      </w:pPr>
    </w:p>
    <w:p>
      <w:pPr>
        <w:pStyle w:val="3"/>
        <w:spacing w:before="7"/>
        <w:rPr>
          <w:rFonts w:ascii="黑体"/>
          <w:sz w:val="30"/>
        </w:rPr>
      </w:pPr>
    </w:p>
    <w:p>
      <w:pPr>
        <w:spacing w:before="0" w:line="252" w:lineRule="auto"/>
        <w:ind w:right="2547" w:firstLine="2230" w:firstLineChars="500"/>
        <w:jc w:val="left"/>
        <w:rPr>
          <w:rFonts w:ascii="黑体" w:eastAsia="黑体"/>
          <w:spacing w:val="-2"/>
          <w:sz w:val="48"/>
          <w:szCs w:val="48"/>
        </w:rPr>
      </w:pPr>
      <w:r>
        <w:rPr>
          <w:rFonts w:ascii="黑体" w:eastAsia="黑体"/>
          <w:spacing w:val="-17"/>
          <w:sz w:val="48"/>
          <w:szCs w:val="48"/>
        </w:rPr>
        <w:t>会展组展</w:t>
      </w:r>
      <w:r>
        <w:rPr>
          <w:rFonts w:hint="eastAsia" w:ascii="黑体" w:eastAsia="黑体"/>
          <w:spacing w:val="-17"/>
          <w:sz w:val="48"/>
          <w:szCs w:val="48"/>
          <w:lang w:val="en-US" w:eastAsia="zh-CN"/>
        </w:rPr>
        <w:t>企业</w:t>
      </w:r>
      <w:r>
        <w:rPr>
          <w:rFonts w:ascii="黑体" w:eastAsia="黑体"/>
          <w:spacing w:val="-2"/>
          <w:sz w:val="48"/>
          <w:szCs w:val="48"/>
        </w:rPr>
        <w:t>商务诚信评价指标</w:t>
      </w:r>
    </w:p>
    <w:p>
      <w:pPr>
        <w:spacing w:before="0" w:line="252" w:lineRule="auto"/>
        <w:ind w:left="2868" w:leftChars="1160" w:right="2547" w:hanging="316" w:hangingChars="100"/>
        <w:jc w:val="left"/>
        <w:rPr>
          <w:rFonts w:hint="eastAsia" w:ascii="黑体" w:eastAsia="黑体"/>
          <w:b w:val="0"/>
          <w:bCs w:val="0"/>
          <w:spacing w:val="-2"/>
          <w:sz w:val="32"/>
          <w:szCs w:val="32"/>
          <w:lang w:eastAsia="zh-CN"/>
        </w:rPr>
      </w:pPr>
      <w:r>
        <w:rPr>
          <w:rFonts w:hint="eastAsia" w:ascii="黑体" w:eastAsia="黑体"/>
          <w:b w:val="0"/>
          <w:bCs w:val="0"/>
          <w:spacing w:val="-2"/>
          <w:sz w:val="32"/>
          <w:szCs w:val="32"/>
          <w:lang w:eastAsia="zh-CN"/>
        </w:rPr>
        <w:t>Exhibition Group Exhibition Enterprise Business</w:t>
      </w:r>
      <w:r>
        <w:rPr>
          <w:rFonts w:hint="eastAsia" w:ascii="黑体" w:eastAsia="黑体"/>
          <w:b w:val="0"/>
          <w:bCs w:val="0"/>
          <w:spacing w:val="-2"/>
          <w:sz w:val="32"/>
          <w:szCs w:val="32"/>
          <w:lang w:val="en-US" w:eastAsia="zh-CN"/>
        </w:rPr>
        <w:t xml:space="preserve"> </w:t>
      </w:r>
      <w:r>
        <w:rPr>
          <w:rFonts w:hint="eastAsia" w:ascii="黑体" w:eastAsia="黑体"/>
          <w:b w:val="0"/>
          <w:bCs w:val="0"/>
          <w:spacing w:val="-2"/>
          <w:sz w:val="32"/>
          <w:szCs w:val="32"/>
          <w:lang w:eastAsia="zh-CN"/>
        </w:rPr>
        <w:t>Integrity Evaluation Index</w:t>
      </w:r>
    </w:p>
    <w:p>
      <w:pPr>
        <w:spacing w:before="0" w:line="252" w:lineRule="auto"/>
        <w:ind w:right="2547" w:firstLine="4740" w:firstLineChars="1500"/>
        <w:jc w:val="left"/>
        <w:rPr>
          <w:rFonts w:hint="eastAsia" w:ascii="黑体" w:eastAsia="黑体"/>
          <w:b w:val="0"/>
          <w:bCs w:val="0"/>
          <w:spacing w:val="-2"/>
          <w:sz w:val="32"/>
          <w:szCs w:val="32"/>
          <w:lang w:eastAsia="zh-CN"/>
        </w:rPr>
      </w:pPr>
    </w:p>
    <w:p>
      <w:pPr>
        <w:spacing w:before="0" w:line="252" w:lineRule="auto"/>
        <w:ind w:right="2547" w:firstLine="4740" w:firstLineChars="1500"/>
        <w:jc w:val="left"/>
        <w:rPr>
          <w:rFonts w:hint="eastAsia" w:ascii="黑体" w:eastAsia="黑体"/>
          <w:b w:val="0"/>
          <w:bCs w:val="0"/>
          <w:spacing w:val="-2"/>
          <w:sz w:val="32"/>
          <w:szCs w:val="32"/>
          <w:lang w:eastAsia="zh-CN"/>
        </w:rPr>
      </w:pPr>
    </w:p>
    <w:p>
      <w:pPr>
        <w:spacing w:before="0" w:line="252" w:lineRule="auto"/>
        <w:ind w:right="2547" w:firstLine="4740" w:firstLineChars="1500"/>
        <w:jc w:val="left"/>
        <w:rPr>
          <w:rFonts w:ascii="黑体"/>
          <w:b w:val="0"/>
          <w:bCs w:val="0"/>
          <w:sz w:val="29"/>
        </w:rPr>
        <w:sectPr>
          <w:headerReference r:id="rId5" w:type="default"/>
          <w:footerReference r:id="rId7" w:type="default"/>
          <w:headerReference r:id="rId6" w:type="even"/>
          <w:footerReference r:id="rId8" w:type="even"/>
          <w:type w:val="continuous"/>
          <w:pgSz w:w="11910" w:h="16840"/>
          <w:pgMar w:top="480" w:right="260" w:bottom="280" w:left="240" w:header="720" w:footer="720" w:gutter="0"/>
          <w:cols w:space="720" w:num="1"/>
        </w:sectPr>
      </w:pPr>
      <w:r>
        <w:rPr>
          <w:rFonts w:hint="eastAsia" w:ascii="黑体" w:eastAsia="黑体"/>
          <w:b w:val="0"/>
          <w:bCs w:val="0"/>
          <w:spacing w:val="-2"/>
          <w:sz w:val="32"/>
          <w:szCs w:val="32"/>
          <w:lang w:eastAsia="zh-CN"/>
        </w:rPr>
        <w:t>（</w:t>
      </w:r>
      <w:r>
        <w:rPr>
          <w:rFonts w:hint="eastAsia" w:ascii="黑体" w:eastAsia="黑体"/>
          <w:b w:val="0"/>
          <w:bCs w:val="0"/>
          <w:spacing w:val="-2"/>
          <w:sz w:val="32"/>
          <w:szCs w:val="32"/>
          <w:lang w:val="en-US" w:eastAsia="zh-CN"/>
        </w:rPr>
        <w:t>征询意见稿）</w:t>
      </w:r>
      <w:r>
        <w:rPr>
          <w:rFonts w:hint="eastAsia" w:ascii="黑体" w:eastAsia="黑体"/>
          <w:b w:val="0"/>
          <w:bCs w:val="0"/>
          <w:spacing w:val="80"/>
          <w:sz w:val="32"/>
          <w:szCs w:val="32"/>
          <w:lang w:val="en-US" w:eastAsia="zh-CN"/>
        </w:rPr>
        <w:t xml:space="preserve"> </w:t>
      </w:r>
      <w:r>
        <w:rPr>
          <w:rFonts w:hint="eastAsia" w:ascii="黑体" w:eastAsia="黑体"/>
          <w:b w:val="0"/>
          <w:bCs w:val="0"/>
          <w:spacing w:val="-17"/>
          <w:sz w:val="48"/>
          <w:szCs w:val="48"/>
          <w:lang w:val="en-US" w:eastAsia="zh-CN"/>
        </w:rPr>
        <w:t xml:space="preserve"> </w:t>
      </w:r>
      <w:r>
        <w:rPr>
          <w:b w:val="0"/>
          <w:bCs w:val="0"/>
        </w:rPr>
        <w:pict>
          <v:shape id="docshape4" o:spid="_x0000_s1029" o:spt="202" type="#_x0000_t202" style="position:absolute;left:0pt;margin-left:142.45pt;margin-top:378.75pt;height:19.3pt;width:223.5pt;mso-position-horizontal-relative:page;z-index:-251655168;mso-width-relative:page;mso-height-relative:page;" filled="f" stroked="f" coordsize="21600,21600">
            <v:path/>
            <v:fill on="f" focussize="0,0"/>
            <v:stroke on="f"/>
            <v:imagedata o:title=""/>
            <o:lock v:ext="edit" aspectratio="f"/>
            <v:textbox inset="0mm,0mm,0mm,0mm">
              <w:txbxContent>
                <w:p>
                  <w:pPr>
                    <w:spacing w:before="0" w:line="281" w:lineRule="exact"/>
                    <w:ind w:left="0" w:right="0" w:firstLine="0"/>
                    <w:jc w:val="left"/>
                    <w:rPr>
                      <w:rFonts w:hint="default" w:ascii="黑体" w:eastAsia="黑体"/>
                      <w:sz w:val="28"/>
                      <w:lang w:val="en-US" w:eastAsia="zh-CN"/>
                    </w:rPr>
                  </w:pPr>
                  <w:r>
                    <w:rPr>
                      <w:rFonts w:hint="eastAsia" w:ascii="黑体" w:eastAsia="黑体"/>
                      <w:spacing w:val="-3"/>
                      <w:sz w:val="28"/>
                      <w:lang w:val="en-US" w:eastAsia="zh-CN"/>
                    </w:rPr>
                    <w:t xml:space="preserve"> 内蒙古会展经济科学发展研究会</w:t>
                  </w:r>
                </w:p>
              </w:txbxContent>
            </v:textbox>
          </v:shape>
        </w:pict>
      </w:r>
      <w:r>
        <w:rPr>
          <w:b w:val="0"/>
          <w:bCs w:val="0"/>
        </w:rPr>
        <w:pict>
          <v:shape id="docshape2" o:spid="_x0000_s1027" o:spt="202" type="#_x0000_t202" style="position:absolute;left:0pt;margin-left:70.8pt;margin-top:318.6pt;height:11.05pt;width:116.7pt;mso-position-horizontal-relative:page;z-index:-251656192;mso-width-relative:page;mso-height-relative:page;" filled="f" stroked="f" coordsize="21600,21600">
            <v:path/>
            <v:fill on="f" focussize="0,0"/>
            <v:stroke on="f"/>
            <v:imagedata o:title=""/>
            <o:lock v:ext="edit" aspectratio="f"/>
            <v:textbox inset="0mm,0mm,0mm,0mm">
              <w:txbxContent>
                <w:p>
                  <w:pPr>
                    <w:spacing w:before="0" w:line="281" w:lineRule="exact"/>
                    <w:ind w:left="0" w:right="0" w:firstLine="0"/>
                    <w:jc w:val="left"/>
                    <w:rPr>
                      <w:rFonts w:ascii="黑体" w:eastAsia="黑体"/>
                      <w:sz w:val="28"/>
                    </w:rPr>
                  </w:pPr>
                  <w:r>
                    <w:rPr>
                      <w:rFonts w:ascii="黑体" w:eastAsia="黑体"/>
                      <w:spacing w:val="-2"/>
                      <w:sz w:val="28"/>
                    </w:rPr>
                    <w:t>202</w:t>
                  </w:r>
                  <w:r>
                    <w:rPr>
                      <w:rFonts w:hint="eastAsia" w:ascii="黑体" w:eastAsia="黑体"/>
                      <w:spacing w:val="-2"/>
                      <w:sz w:val="28"/>
                      <w:lang w:val="en-US" w:eastAsia="zh-CN"/>
                    </w:rPr>
                    <w:t>4</w:t>
                  </w:r>
                  <w:r>
                    <w:rPr>
                      <w:rFonts w:ascii="黑体" w:eastAsia="黑体"/>
                      <w:spacing w:val="-47"/>
                      <w:sz w:val="28"/>
                    </w:rPr>
                    <w:t xml:space="preserve"> - </w:t>
                  </w:r>
                  <w:r>
                    <w:rPr>
                      <w:rFonts w:ascii="黑体" w:eastAsia="黑体"/>
                      <w:spacing w:val="-2"/>
                      <w:sz w:val="28"/>
                    </w:rPr>
                    <w:t>0</w:t>
                  </w:r>
                  <w:r>
                    <w:rPr>
                      <w:rFonts w:hint="eastAsia" w:ascii="黑体" w:eastAsia="黑体"/>
                      <w:spacing w:val="-2"/>
                      <w:sz w:val="28"/>
                      <w:lang w:val="en-US" w:eastAsia="zh-CN"/>
                    </w:rPr>
                    <w:t>4</w:t>
                  </w:r>
                  <w:r>
                    <w:rPr>
                      <w:rFonts w:ascii="黑体" w:eastAsia="黑体"/>
                      <w:spacing w:val="-46"/>
                      <w:sz w:val="28"/>
                    </w:rPr>
                    <w:t xml:space="preserve"> - </w:t>
                  </w:r>
                  <w:r>
                    <w:rPr>
                      <w:rFonts w:hint="eastAsia" w:ascii="黑体" w:eastAsia="黑体"/>
                      <w:spacing w:val="-2"/>
                      <w:sz w:val="28"/>
                      <w:lang w:val="en-US" w:eastAsia="zh-CN"/>
                    </w:rPr>
                    <w:t xml:space="preserve">10 </w:t>
                  </w:r>
                  <w:r>
                    <w:rPr>
                      <w:rFonts w:ascii="黑体" w:eastAsia="黑体"/>
                      <w:spacing w:val="-28"/>
                      <w:sz w:val="28"/>
                    </w:rPr>
                    <w:t>发布</w:t>
                  </w:r>
                </w:p>
              </w:txbxContent>
            </v:textbox>
          </v:shape>
        </w:pict>
      </w:r>
      <w:r>
        <w:rPr>
          <w:b w:val="0"/>
          <w:bCs w:val="0"/>
        </w:rPr>
        <w:pict>
          <v:shape id="docshape3" o:spid="_x0000_s1028" o:spt="202" type="#_x0000_t202" style="position:absolute;left:0pt;margin-left:438.7pt;margin-top:318.6pt;height:14.05pt;width:116.6pt;mso-position-horizontal-relative:page;z-index:-251656192;mso-width-relative:page;mso-height-relative:page;" filled="f" stroked="f" coordsize="21600,21600">
            <v:path/>
            <v:fill on="f" focussize="0,0"/>
            <v:stroke on="f" joinstyle="miter"/>
            <v:imagedata o:title=""/>
            <o:lock v:ext="edit"/>
            <v:textbox inset="0mm,0mm,0mm,0mm">
              <w:txbxContent>
                <w:p>
                  <w:pPr>
                    <w:spacing w:before="0" w:line="281" w:lineRule="exact"/>
                    <w:ind w:left="0" w:right="0" w:firstLine="0"/>
                    <w:jc w:val="left"/>
                    <w:rPr>
                      <w:rFonts w:ascii="黑体" w:eastAsia="黑体"/>
                      <w:sz w:val="28"/>
                    </w:rPr>
                  </w:pPr>
                  <w:r>
                    <w:rPr>
                      <w:rFonts w:ascii="黑体" w:eastAsia="黑体"/>
                      <w:spacing w:val="-2"/>
                      <w:sz w:val="28"/>
                    </w:rPr>
                    <w:t>202</w:t>
                  </w:r>
                  <w:r>
                    <w:rPr>
                      <w:rFonts w:hint="eastAsia" w:ascii="黑体" w:eastAsia="黑体"/>
                      <w:spacing w:val="-2"/>
                      <w:sz w:val="28"/>
                      <w:lang w:val="en-US" w:eastAsia="zh-CN"/>
                    </w:rPr>
                    <w:t>4</w:t>
                  </w:r>
                  <w:r>
                    <w:rPr>
                      <w:rFonts w:ascii="黑体" w:eastAsia="黑体"/>
                      <w:spacing w:val="-46"/>
                      <w:sz w:val="28"/>
                    </w:rPr>
                    <w:t xml:space="preserve"> -</w:t>
                  </w:r>
                  <w:r>
                    <w:rPr>
                      <w:rFonts w:hint="eastAsia" w:ascii="黑体" w:eastAsia="黑体"/>
                      <w:spacing w:val="-46"/>
                      <w:sz w:val="28"/>
                      <w:lang w:val="en-US" w:eastAsia="zh-CN"/>
                    </w:rPr>
                    <w:t>05</w:t>
                  </w:r>
                  <w:r>
                    <w:rPr>
                      <w:rFonts w:ascii="黑体" w:eastAsia="黑体"/>
                      <w:spacing w:val="-46"/>
                      <w:sz w:val="28"/>
                    </w:rPr>
                    <w:t xml:space="preserve">- </w:t>
                  </w:r>
                  <w:r>
                    <w:rPr>
                      <w:rFonts w:hint="eastAsia" w:ascii="黑体" w:eastAsia="黑体"/>
                      <w:spacing w:val="-2"/>
                      <w:sz w:val="28"/>
                      <w:lang w:val="en-US" w:eastAsia="zh-CN"/>
                    </w:rPr>
                    <w:t>20</w:t>
                  </w:r>
                  <w:r>
                    <w:rPr>
                      <w:rFonts w:ascii="黑体" w:eastAsia="黑体"/>
                      <w:spacing w:val="-27"/>
                      <w:sz w:val="28"/>
                    </w:rPr>
                    <w:t xml:space="preserve"> 实施</w:t>
                  </w:r>
                </w:p>
              </w:txbxContent>
            </v:textbox>
          </v:shape>
        </w:pict>
      </w:r>
      <w:r>
        <w:rPr>
          <w:b w:val="0"/>
          <w:bCs w:val="0"/>
        </w:rPr>
        <w:pict>
          <v:shape id="docshape5" o:spid="_x0000_s1030" o:spt="202" type="#_x0000_t202" style="position:absolute;left:0pt;margin-left:370.4pt;margin-top:378pt;height:14.05pt;width:37.65pt;mso-position-horizontal-relative:page;mso-wrap-distance-bottom:0pt;mso-wrap-distance-top:0pt;z-index:-251651072;mso-width-relative:page;mso-height-relative:page;" filled="f" stroked="f" coordsize="21600,21600">
            <v:path/>
            <v:fill on="f" focussize="0,0"/>
            <v:stroke on="f" joinstyle="miter"/>
            <v:imagedata o:title=""/>
            <o:lock v:ext="edit"/>
            <v:textbox inset="0mm,0mm,0mm,0mm">
              <w:txbxContent>
                <w:p>
                  <w:pPr>
                    <w:spacing w:before="0" w:line="281" w:lineRule="exact"/>
                    <w:ind w:left="0" w:right="0" w:firstLine="0"/>
                    <w:jc w:val="left"/>
                    <w:rPr>
                      <w:rFonts w:ascii="黑体" w:eastAsia="黑体"/>
                      <w:sz w:val="28"/>
                    </w:rPr>
                  </w:pPr>
                  <w:r>
                    <w:rPr>
                      <w:rFonts w:ascii="黑体" w:eastAsia="黑体"/>
                      <w:spacing w:val="6"/>
                      <w:sz w:val="28"/>
                    </w:rPr>
                    <w:t>发 布</w:t>
                  </w:r>
                </w:p>
              </w:txbxContent>
            </v:textbox>
            <w10:wrap type="topAndBottom"/>
          </v:shape>
        </w:pict>
      </w: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spacing w:before="10"/>
        <w:rPr>
          <w:rFonts w:ascii="黑体"/>
          <w:sz w:val="27"/>
        </w:rPr>
      </w:pPr>
    </w:p>
    <w:p>
      <w:pPr>
        <w:pStyle w:val="3"/>
        <w:ind w:left="2860"/>
        <w:rPr>
          <w:rFonts w:ascii="黑体"/>
          <w:sz w:val="20"/>
        </w:rPr>
      </w:pPr>
    </w:p>
    <w:p>
      <w:pPr>
        <w:spacing w:after="0"/>
        <w:rPr>
          <w:rFonts w:ascii="黑体"/>
          <w:sz w:val="20"/>
        </w:rPr>
        <w:sectPr>
          <w:pgSz w:w="11910" w:h="16840"/>
          <w:pgMar w:top="1580" w:right="260" w:bottom="280" w:left="240" w:header="720" w:footer="720" w:gutter="0"/>
          <w:cols w:space="720" w:num="1"/>
        </w:sectPr>
      </w:pPr>
    </w:p>
    <w:p>
      <w:pPr>
        <w:pStyle w:val="3"/>
        <w:spacing w:before="1"/>
        <w:rPr>
          <w:rFonts w:ascii="黑体"/>
          <w:sz w:val="16"/>
        </w:rPr>
      </w:pPr>
    </w:p>
    <w:p>
      <w:pPr>
        <w:widowControl w:val="0"/>
        <w:tabs>
          <w:tab w:val="left" w:pos="960"/>
        </w:tabs>
        <w:autoSpaceDE w:val="0"/>
        <w:autoSpaceDN w:val="0"/>
        <w:spacing w:before="54" w:after="0" w:line="240" w:lineRule="auto"/>
        <w:ind w:left="0" w:right="258"/>
        <w:jc w:val="center"/>
        <w:outlineLvl w:val="1"/>
        <w:rPr>
          <w:rFonts w:ascii="黑体" w:hAnsi="黑体" w:eastAsia="黑体" w:cs="黑体"/>
          <w:spacing w:val="-10"/>
          <w:sz w:val="32"/>
          <w:szCs w:val="32"/>
          <w:lang w:val="fr-FR" w:eastAsia="en-US" w:bidi="ar-SA"/>
        </w:rPr>
      </w:pPr>
    </w:p>
    <w:p>
      <w:pPr>
        <w:widowControl w:val="0"/>
        <w:tabs>
          <w:tab w:val="left" w:pos="960"/>
        </w:tabs>
        <w:autoSpaceDE w:val="0"/>
        <w:autoSpaceDN w:val="0"/>
        <w:spacing w:before="54" w:after="0" w:line="240" w:lineRule="auto"/>
        <w:ind w:left="0" w:right="258"/>
        <w:jc w:val="center"/>
        <w:outlineLvl w:val="1"/>
        <w:rPr>
          <w:rFonts w:ascii="黑体" w:hAnsi="黑体" w:eastAsia="黑体" w:cs="黑体"/>
          <w:spacing w:val="-10"/>
          <w:sz w:val="32"/>
          <w:szCs w:val="32"/>
          <w:lang w:val="fr-FR" w:eastAsia="en-US" w:bidi="ar-SA"/>
        </w:rPr>
      </w:pPr>
    </w:p>
    <w:p>
      <w:pPr>
        <w:widowControl w:val="0"/>
        <w:tabs>
          <w:tab w:val="left" w:pos="960"/>
        </w:tabs>
        <w:autoSpaceDE w:val="0"/>
        <w:autoSpaceDN w:val="0"/>
        <w:spacing w:before="54" w:after="0" w:line="240" w:lineRule="auto"/>
        <w:ind w:left="0" w:right="258"/>
        <w:jc w:val="center"/>
        <w:outlineLvl w:val="1"/>
        <w:rPr>
          <w:rFonts w:ascii="黑体" w:hAnsi="黑体" w:eastAsia="黑体" w:cs="黑体"/>
          <w:sz w:val="32"/>
          <w:szCs w:val="32"/>
          <w:lang w:val="fr-FR" w:eastAsia="en-US" w:bidi="ar-SA"/>
        </w:rPr>
      </w:pPr>
      <w:r>
        <w:rPr>
          <w:rFonts w:ascii="黑体" w:hAnsi="黑体" w:eastAsia="黑体" w:cs="黑体"/>
          <w:spacing w:val="-10"/>
          <w:sz w:val="32"/>
          <w:szCs w:val="32"/>
          <w:lang w:val="fr-FR" w:eastAsia="en-US" w:bidi="ar-SA"/>
        </w:rPr>
        <w:t>前</w:t>
      </w:r>
      <w:r>
        <w:rPr>
          <w:rFonts w:ascii="黑体" w:hAnsi="黑体" w:eastAsia="黑体" w:cs="黑体"/>
          <w:sz w:val="32"/>
          <w:szCs w:val="32"/>
          <w:lang w:val="fr-FR" w:eastAsia="en-US" w:bidi="ar-SA"/>
        </w:rPr>
        <w:tab/>
      </w:r>
      <w:r>
        <w:rPr>
          <w:rFonts w:ascii="黑体" w:hAnsi="黑体" w:eastAsia="黑体" w:cs="黑体"/>
          <w:spacing w:val="-10"/>
          <w:sz w:val="32"/>
          <w:szCs w:val="32"/>
          <w:lang w:val="fr-FR" w:eastAsia="en-US" w:bidi="ar-SA"/>
        </w:rPr>
        <w:t>言</w:t>
      </w:r>
    </w:p>
    <w:p>
      <w:pPr>
        <w:widowControl w:val="0"/>
        <w:autoSpaceDE w:val="0"/>
        <w:autoSpaceDN w:val="0"/>
        <w:spacing w:before="6" w:after="0" w:line="240" w:lineRule="auto"/>
        <w:ind w:left="0" w:right="0"/>
        <w:jc w:val="left"/>
        <w:rPr>
          <w:rFonts w:hint="default" w:ascii="黑体" w:hAnsi="宋体" w:eastAsia="宋体" w:cs="宋体"/>
          <w:sz w:val="46"/>
          <w:szCs w:val="21"/>
          <w:lang w:val="en-US" w:eastAsia="zh-CN" w:bidi="ar-SA"/>
        </w:rPr>
      </w:pPr>
    </w:p>
    <w:p>
      <w:pPr>
        <w:widowControl w:val="0"/>
        <w:autoSpaceDE w:val="0"/>
        <w:autoSpaceDN w:val="0"/>
        <w:spacing w:before="6" w:after="0" w:line="240" w:lineRule="auto"/>
        <w:ind w:left="0" w:right="0"/>
        <w:jc w:val="left"/>
        <w:rPr>
          <w:rFonts w:hint="default" w:ascii="黑体" w:hAnsi="宋体" w:eastAsia="宋体" w:cs="宋体"/>
          <w:sz w:val="46"/>
          <w:szCs w:val="21"/>
          <w:lang w:val="en-US" w:eastAsia="zh-CN" w:bidi="ar-SA"/>
        </w:rPr>
      </w:pP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zh-CN" w:bidi="ar-SA"/>
        </w:rPr>
        <w:t xml:space="preserve">    </w:t>
      </w:r>
      <w:r>
        <w:rPr>
          <w:rFonts w:hint="eastAsia" w:cs="宋体"/>
          <w:kern w:val="0"/>
          <w:sz w:val="22"/>
          <w:szCs w:val="21"/>
          <w:lang w:val="en-US" w:eastAsia="zh-CN" w:bidi="ar-SA"/>
        </w:rPr>
        <w:t xml:space="preserve">        </w:t>
      </w:r>
      <w:r>
        <w:rPr>
          <w:rFonts w:hint="eastAsia" w:ascii="宋体" w:hAnsi="宋体" w:eastAsia="宋体" w:cs="宋体"/>
          <w:kern w:val="0"/>
          <w:sz w:val="22"/>
          <w:szCs w:val="21"/>
          <w:lang w:val="en-US" w:eastAsia="en-US" w:bidi="ar-SA"/>
        </w:rPr>
        <w:t>本标准按照GB/T  1.1-2020《标准化工作导则  第1部分：标准化文件的结构和起草规则》的</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right="0" w:firstLine="880" w:firstLineChars="4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规定起草。</w:t>
      </w:r>
    </w:p>
    <w:p>
      <w:pPr>
        <w:keepNext w:val="0"/>
        <w:keepLines w:val="0"/>
        <w:pageBreakBefore w:val="0"/>
        <w:widowControl w:val="0"/>
        <w:kinsoku/>
        <w:wordWrap/>
        <w:overflowPunct/>
        <w:topLinePunct w:val="0"/>
        <w:autoSpaceDE w:val="0"/>
        <w:autoSpaceDN w:val="0"/>
        <w:bidi w:val="0"/>
        <w:adjustRightInd/>
        <w:snapToGrid/>
        <w:spacing w:before="0" w:after="0" w:line="540" w:lineRule="exact"/>
        <w:ind w:right="0" w:firstLine="1320" w:firstLineChars="6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请注意本文件的某些内容可能涉及专利，本文件的发布机构不承担识别这些专利的责任。</w:t>
      </w:r>
    </w:p>
    <w:p>
      <w:pPr>
        <w:keepNext w:val="0"/>
        <w:keepLines w:val="0"/>
        <w:pageBreakBefore w:val="0"/>
        <w:widowControl w:val="0"/>
        <w:kinsoku/>
        <w:wordWrap/>
        <w:overflowPunct/>
        <w:topLinePunct w:val="0"/>
        <w:autoSpaceDE w:val="0"/>
        <w:autoSpaceDN w:val="0"/>
        <w:bidi w:val="0"/>
        <w:adjustRightInd/>
        <w:snapToGrid/>
        <w:spacing w:before="0" w:after="0" w:line="540" w:lineRule="exact"/>
        <w:ind w:right="0" w:firstLine="1320" w:firstLineChars="6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本文件由内蒙古会博科技发展有限责任公司提出。</w:t>
      </w:r>
    </w:p>
    <w:p>
      <w:pPr>
        <w:keepNext w:val="0"/>
        <w:keepLines w:val="0"/>
        <w:pageBreakBefore w:val="0"/>
        <w:widowControl w:val="0"/>
        <w:kinsoku/>
        <w:wordWrap/>
        <w:overflowPunct/>
        <w:topLinePunct w:val="0"/>
        <w:autoSpaceDE w:val="0"/>
        <w:autoSpaceDN w:val="0"/>
        <w:bidi w:val="0"/>
        <w:adjustRightInd/>
        <w:snapToGrid/>
        <w:spacing w:before="0" w:after="0" w:line="540" w:lineRule="exact"/>
        <w:ind w:right="0" w:firstLine="1320" w:firstLineChars="6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本文件由内蒙古会展经济科学发展研究会归口。</w:t>
      </w:r>
    </w:p>
    <w:p>
      <w:pPr>
        <w:keepNext w:val="0"/>
        <w:keepLines w:val="0"/>
        <w:pageBreakBefore w:val="0"/>
        <w:widowControl w:val="0"/>
        <w:kinsoku/>
        <w:wordWrap/>
        <w:overflowPunct/>
        <w:topLinePunct w:val="0"/>
        <w:autoSpaceDE w:val="0"/>
        <w:autoSpaceDN w:val="0"/>
        <w:bidi w:val="0"/>
        <w:adjustRightInd/>
        <w:snapToGrid/>
        <w:spacing w:before="0" w:after="0" w:line="540" w:lineRule="exact"/>
        <w:ind w:right="0" w:firstLine="1320" w:firstLineChars="6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本文件起草单位：内蒙古自治区博览中心、内蒙古财经大学、内蒙古艺术学院、内蒙古人事人才</w:t>
      </w:r>
    </w:p>
    <w:p>
      <w:pPr>
        <w:keepNext w:val="0"/>
        <w:keepLines w:val="0"/>
        <w:pageBreakBefore w:val="0"/>
        <w:widowControl w:val="0"/>
        <w:kinsoku/>
        <w:wordWrap/>
        <w:overflowPunct/>
        <w:topLinePunct w:val="0"/>
        <w:autoSpaceDE w:val="0"/>
        <w:autoSpaceDN w:val="0"/>
        <w:bidi w:val="0"/>
        <w:adjustRightInd/>
        <w:snapToGrid/>
        <w:spacing w:before="0" w:after="0" w:line="540" w:lineRule="exact"/>
        <w:ind w:right="0" w:firstLine="880" w:firstLineChars="4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公共服务中心、包头国际会展中心、内蒙古大学生创业联合会。</w:t>
      </w:r>
    </w:p>
    <w:p>
      <w:pPr>
        <w:keepNext w:val="0"/>
        <w:keepLines w:val="0"/>
        <w:pageBreakBefore w:val="0"/>
        <w:widowControl w:val="0"/>
        <w:kinsoku/>
        <w:wordWrap/>
        <w:overflowPunct/>
        <w:topLinePunct w:val="0"/>
        <w:autoSpaceDE w:val="0"/>
        <w:autoSpaceDN w:val="0"/>
        <w:bidi w:val="0"/>
        <w:adjustRightInd/>
        <w:snapToGrid/>
        <w:spacing w:before="0" w:after="0" w:line="540" w:lineRule="exact"/>
        <w:ind w:right="0" w:firstLine="1320" w:firstLineChars="6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本文件主要起草人：尹慧明、狄建伟、徐昊、葛丽英、杨曦、田志馥、蒋柠、夏智慧、荆国栋、</w:t>
      </w:r>
    </w:p>
    <w:p>
      <w:pPr>
        <w:keepNext w:val="0"/>
        <w:keepLines w:val="0"/>
        <w:pageBreakBefore w:val="0"/>
        <w:widowControl w:val="0"/>
        <w:kinsoku/>
        <w:wordWrap/>
        <w:overflowPunct/>
        <w:topLinePunct w:val="0"/>
        <w:autoSpaceDE w:val="0"/>
        <w:autoSpaceDN w:val="0"/>
        <w:bidi w:val="0"/>
        <w:adjustRightInd/>
        <w:snapToGrid/>
        <w:spacing w:before="0" w:after="0" w:line="540" w:lineRule="exact"/>
        <w:ind w:right="0" w:firstLine="880" w:firstLineChars="4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张惠、王德全、宫慧楠、武龙、查干乌拉、李建军、刘佳、李荣艳、张莉杰、蒋建苓、郭刚、汪士钦、</w:t>
      </w:r>
    </w:p>
    <w:p>
      <w:pPr>
        <w:keepNext w:val="0"/>
        <w:keepLines w:val="0"/>
        <w:pageBreakBefore w:val="0"/>
        <w:widowControl w:val="0"/>
        <w:kinsoku/>
        <w:wordWrap/>
        <w:overflowPunct/>
        <w:topLinePunct w:val="0"/>
        <w:autoSpaceDE w:val="0"/>
        <w:autoSpaceDN w:val="0"/>
        <w:bidi w:val="0"/>
        <w:adjustRightInd/>
        <w:snapToGrid/>
        <w:spacing w:before="0" w:after="0" w:line="540" w:lineRule="exact"/>
        <w:ind w:right="0" w:firstLine="880" w:firstLineChars="4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李春阳、毕会娜、尹慧龙、狄钰珈、王又增、赵永文、董晨阳、王哲、格根宝力尔、王广飞、李涛、</w:t>
      </w:r>
    </w:p>
    <w:p>
      <w:pPr>
        <w:keepNext w:val="0"/>
        <w:keepLines w:val="0"/>
        <w:pageBreakBefore w:val="0"/>
        <w:widowControl w:val="0"/>
        <w:kinsoku/>
        <w:wordWrap/>
        <w:overflowPunct/>
        <w:topLinePunct w:val="0"/>
        <w:autoSpaceDE w:val="0"/>
        <w:autoSpaceDN w:val="0"/>
        <w:bidi w:val="0"/>
        <w:adjustRightInd/>
        <w:snapToGrid/>
        <w:spacing w:before="0" w:after="0" w:line="540" w:lineRule="exact"/>
        <w:ind w:right="0" w:firstLine="880" w:firstLineChars="400"/>
        <w:jc w:val="left"/>
        <w:textAlignment w:val="auto"/>
        <w:rPr>
          <w:rFonts w:hint="default" w:ascii="宋体" w:hAnsi="宋体" w:eastAsia="宋体" w:cs="宋体"/>
          <w:sz w:val="20"/>
          <w:szCs w:val="21"/>
          <w:lang w:val="en-US" w:eastAsia="zh-CN" w:bidi="ar-SA"/>
        </w:rPr>
      </w:pPr>
      <w:r>
        <w:rPr>
          <w:rFonts w:hint="eastAsia" w:ascii="宋体" w:hAnsi="宋体" w:eastAsia="宋体" w:cs="宋体"/>
          <w:kern w:val="0"/>
          <w:sz w:val="22"/>
          <w:szCs w:val="21"/>
          <w:lang w:val="en-US" w:eastAsia="en-US" w:bidi="ar-SA"/>
        </w:rPr>
        <w:t>杜潇、尹玥淇、陈献勇、额博尔夫、秦思扬、杨森。</w:t>
      </w:r>
    </w:p>
    <w:p>
      <w:pPr>
        <w:widowControl w:val="0"/>
        <w:autoSpaceDE w:val="0"/>
        <w:autoSpaceDN w:val="0"/>
        <w:spacing w:before="0" w:after="0" w:line="240" w:lineRule="auto"/>
        <w:ind w:left="0" w:right="0"/>
        <w:jc w:val="left"/>
        <w:rPr>
          <w:rFonts w:ascii="宋体" w:hAnsi="宋体" w:eastAsia="宋体" w:cs="宋体"/>
          <w:sz w:val="20"/>
          <w:szCs w:val="21"/>
          <w:lang w:val="en-US" w:eastAsia="en-US" w:bidi="ar-SA"/>
        </w:rPr>
      </w:pPr>
    </w:p>
    <w:p>
      <w:pPr>
        <w:widowControl w:val="0"/>
        <w:autoSpaceDE w:val="0"/>
        <w:autoSpaceDN w:val="0"/>
        <w:spacing w:before="0" w:after="0" w:line="240" w:lineRule="auto"/>
        <w:ind w:left="0" w:right="0"/>
        <w:jc w:val="left"/>
        <w:rPr>
          <w:rFonts w:ascii="宋体" w:hAnsi="宋体" w:eastAsia="宋体" w:cs="宋体"/>
          <w:sz w:val="20"/>
          <w:szCs w:val="21"/>
          <w:lang w:val="en-US" w:eastAsia="en-US" w:bidi="ar-SA"/>
        </w:rPr>
      </w:pPr>
    </w:p>
    <w:p>
      <w:pPr>
        <w:widowControl w:val="0"/>
        <w:autoSpaceDE w:val="0"/>
        <w:autoSpaceDN w:val="0"/>
        <w:spacing w:before="0" w:after="0" w:line="240" w:lineRule="auto"/>
        <w:ind w:left="0" w:right="0"/>
        <w:jc w:val="left"/>
        <w:rPr>
          <w:rFonts w:ascii="宋体" w:hAnsi="宋体" w:eastAsia="宋体" w:cs="宋体"/>
          <w:sz w:val="20"/>
          <w:szCs w:val="21"/>
          <w:lang w:val="en-US" w:eastAsia="en-US" w:bidi="ar-SA"/>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12"/>
        <w:rPr>
          <w:sz w:val="14"/>
        </w:rPr>
      </w:pPr>
      <w:r>
        <w:pict>
          <v:shape id="docshape8" o:spid="_x0000_s1031" o:spt="202" type="#_x0000_t202" style="position:absolute;left:0pt;margin-left:522.7pt;margin-top:10.75pt;height:9pt;width:5.5pt;mso-position-horizontal-relative:page;mso-wrap-distance-bottom:0pt;mso-wrap-distance-top:0pt;z-index:-251650048;mso-width-relative:page;mso-height-relative:page;" filled="f" stroked="f" coordsize="21600,21600">
            <v:path/>
            <v:fill on="f" focussize="0,0"/>
            <v:stroke on="f" joinstyle="miter"/>
            <v:imagedata o:title=""/>
            <o:lock v:ext="edit"/>
            <v:textbox inset="0mm,0mm,0mm,0mm">
              <w:txbxContent>
                <w:p>
                  <w:pPr>
                    <w:spacing w:before="0" w:line="180" w:lineRule="exact"/>
                    <w:ind w:left="0" w:right="0" w:firstLine="0"/>
                    <w:jc w:val="left"/>
                    <w:rPr>
                      <w:rFonts w:hint="eastAsia" w:eastAsia="宋体"/>
                      <w:sz w:val="18"/>
                      <w:lang w:val="en-US" w:eastAsia="zh-CN"/>
                    </w:rPr>
                  </w:pPr>
                  <w:r>
                    <w:rPr>
                      <w:rFonts w:hint="eastAsia"/>
                      <w:sz w:val="18"/>
                      <w:lang w:val="en-US" w:eastAsia="zh-CN"/>
                    </w:rPr>
                    <w:t xml:space="preserve"> </w:t>
                  </w:r>
                </w:p>
              </w:txbxContent>
            </v:textbox>
            <w10:wrap type="topAndBottom"/>
          </v:shape>
        </w:pict>
      </w:r>
    </w:p>
    <w:p>
      <w:pPr>
        <w:spacing w:after="0"/>
        <w:rPr>
          <w:sz w:val="14"/>
        </w:rPr>
        <w:sectPr>
          <w:headerReference r:id="rId9" w:type="default"/>
          <w:headerReference r:id="rId10" w:type="even"/>
          <w:pgSz w:w="11910" w:h="16840"/>
          <w:pgMar w:top="1640" w:right="260" w:bottom="280" w:left="240" w:header="1449" w:footer="0" w:gutter="0"/>
          <w:cols w:space="720" w:num="1"/>
        </w:sectPr>
      </w:pPr>
    </w:p>
    <w:p>
      <w:pPr>
        <w:pStyle w:val="3"/>
        <w:spacing w:before="1"/>
        <w:rPr>
          <w:sz w:val="16"/>
        </w:rPr>
      </w:pPr>
    </w:p>
    <w:p>
      <w:pPr>
        <w:pStyle w:val="2"/>
        <w:tabs>
          <w:tab w:val="left" w:pos="1114"/>
        </w:tabs>
      </w:pPr>
      <w:r>
        <w:rPr>
          <w:spacing w:val="-10"/>
        </w:rPr>
        <w:t>引</w:t>
      </w:r>
      <w:r>
        <w:tab/>
      </w:r>
      <w:r>
        <w:rPr>
          <w:spacing w:val="-10"/>
        </w:rPr>
        <w:t>言</w:t>
      </w:r>
    </w:p>
    <w:p>
      <w:pPr>
        <w:pStyle w:val="3"/>
        <w:spacing w:before="6"/>
        <w:rPr>
          <w:rFonts w:ascii="黑体"/>
          <w:sz w:val="46"/>
        </w:rPr>
      </w:pPr>
    </w:p>
    <w:p>
      <w:pPr>
        <w:pStyle w:val="3"/>
        <w:keepNext w:val="0"/>
        <w:keepLines w:val="0"/>
        <w:pageBreakBefore w:val="0"/>
        <w:widowControl w:val="0"/>
        <w:kinsoku/>
        <w:wordWrap/>
        <w:overflowPunct/>
        <w:topLinePunct w:val="0"/>
        <w:autoSpaceDE w:val="0"/>
        <w:autoSpaceDN w:val="0"/>
        <w:bidi w:val="0"/>
        <w:adjustRightInd/>
        <w:snapToGrid/>
        <w:spacing w:before="0" w:line="440" w:lineRule="exact"/>
        <w:ind w:left="0" w:right="0" w:firstLine="955" w:firstLineChars="490"/>
        <w:jc w:val="both"/>
        <w:textAlignment w:val="auto"/>
        <w:rPr>
          <w:spacing w:val="-9"/>
          <w:w w:val="99"/>
        </w:rPr>
      </w:pPr>
      <w:r>
        <w:rPr>
          <w:spacing w:val="-6"/>
          <w:w w:val="99"/>
        </w:rPr>
        <w:t>商务诚信是社会信用体系建设的重要组成部分</w:t>
      </w:r>
      <w:r>
        <w:rPr>
          <w:rFonts w:hint="eastAsia"/>
          <w:spacing w:val="-6"/>
          <w:w w:val="99"/>
          <w:lang w:eastAsia="zh-CN"/>
        </w:rPr>
        <w:t>，</w:t>
      </w:r>
      <w:r>
        <w:rPr>
          <w:spacing w:val="-9"/>
          <w:w w:val="99"/>
        </w:rPr>
        <w:t>建立健全商务诚信管理制度和标准体系，开展行业商务诚信评价</w:t>
      </w:r>
    </w:p>
    <w:p>
      <w:pPr>
        <w:pStyle w:val="3"/>
        <w:keepNext w:val="0"/>
        <w:keepLines w:val="0"/>
        <w:pageBreakBefore w:val="0"/>
        <w:widowControl w:val="0"/>
        <w:kinsoku/>
        <w:wordWrap/>
        <w:overflowPunct/>
        <w:topLinePunct w:val="0"/>
        <w:autoSpaceDE w:val="0"/>
        <w:autoSpaceDN w:val="0"/>
        <w:bidi w:val="0"/>
        <w:adjustRightInd/>
        <w:snapToGrid/>
        <w:spacing w:before="0" w:line="440" w:lineRule="exact"/>
        <w:ind w:right="0" w:firstLine="378" w:firstLineChars="200"/>
        <w:jc w:val="both"/>
        <w:textAlignment w:val="auto"/>
        <w:rPr>
          <w:spacing w:val="-1"/>
          <w:w w:val="99"/>
        </w:rPr>
      </w:pPr>
      <w:r>
        <w:rPr>
          <w:spacing w:val="-9"/>
          <w:w w:val="99"/>
        </w:rPr>
        <w:t>及其标准化研究是商务诚信</w:t>
      </w:r>
      <w:r>
        <w:rPr>
          <w:spacing w:val="-7"/>
          <w:w w:val="99"/>
        </w:rPr>
        <w:t>体系建设的重要工作之一。为规范会展行业领域市场化和专业化评价信息整合、指</w:t>
      </w:r>
      <w:r>
        <w:rPr>
          <w:spacing w:val="-1"/>
          <w:w w:val="99"/>
        </w:rPr>
        <w:t>导相关行</w:t>
      </w:r>
    </w:p>
    <w:p>
      <w:pPr>
        <w:pStyle w:val="3"/>
        <w:keepNext w:val="0"/>
        <w:keepLines w:val="0"/>
        <w:pageBreakBefore w:val="0"/>
        <w:widowControl w:val="0"/>
        <w:kinsoku/>
        <w:wordWrap/>
        <w:overflowPunct/>
        <w:topLinePunct w:val="0"/>
        <w:autoSpaceDE w:val="0"/>
        <w:autoSpaceDN w:val="0"/>
        <w:bidi w:val="0"/>
        <w:adjustRightInd/>
        <w:snapToGrid/>
        <w:spacing w:before="0" w:line="440" w:lineRule="exact"/>
        <w:ind w:right="0" w:firstLine="410" w:firstLineChars="200"/>
        <w:jc w:val="both"/>
        <w:textAlignment w:val="auto"/>
      </w:pPr>
      <w:r>
        <w:rPr>
          <w:spacing w:val="-1"/>
          <w:w w:val="99"/>
        </w:rPr>
        <w:t>业开展商务诚信评价，特制定</w:t>
      </w:r>
      <w:r>
        <w:rPr>
          <w:spacing w:val="-1"/>
          <w:w w:val="95"/>
        </w:rPr>
        <w:t>会展组展企业商务诚信的评价原则和评价指标。</w:t>
      </w:r>
    </w:p>
    <w:p>
      <w:pPr>
        <w:pStyle w:val="3"/>
        <w:keepNext w:val="0"/>
        <w:keepLines w:val="0"/>
        <w:pageBreakBefore w:val="0"/>
        <w:widowControl w:val="0"/>
        <w:kinsoku/>
        <w:wordWrap/>
        <w:overflowPunct/>
        <w:topLinePunct w:val="0"/>
        <w:autoSpaceDE w:val="0"/>
        <w:autoSpaceDN w:val="0"/>
        <w:bidi w:val="0"/>
        <w:adjustRightInd/>
        <w:snapToGrid/>
        <w:spacing w:before="0" w:line="440" w:lineRule="exact"/>
        <w:ind w:left="0" w:right="0" w:firstLine="820" w:firstLineChars="400"/>
        <w:textAlignment w:val="auto"/>
      </w:pPr>
      <w:r>
        <w:rPr>
          <w:spacing w:val="-1"/>
          <w:w w:val="99"/>
        </w:rPr>
        <w:t>本文件从诚信意愿、诚信能力、诚信行为三个维度建立了会展组展企业商务诚信评价指标。</w:t>
      </w:r>
    </w:p>
    <w:p>
      <w:pPr>
        <w:pStyle w:val="3"/>
        <w:keepNext w:val="0"/>
        <w:keepLines w:val="0"/>
        <w:pageBreakBefore w:val="0"/>
        <w:widowControl w:val="0"/>
        <w:kinsoku/>
        <w:wordWrap/>
        <w:overflowPunct/>
        <w:topLinePunct w:val="0"/>
        <w:autoSpaceDE w:val="0"/>
        <w:autoSpaceDN w:val="0"/>
        <w:bidi w:val="0"/>
        <w:adjustRightInd/>
        <w:snapToGrid/>
        <w:spacing w:before="0" w:line="440" w:lineRule="exact"/>
        <w:ind w:left="0" w:right="0"/>
        <w:textAlignment w:val="auto"/>
        <w:rPr>
          <w:sz w:val="20"/>
        </w:rPr>
      </w:pPr>
    </w:p>
    <w:p>
      <w:pPr>
        <w:pStyle w:val="3"/>
        <w:keepNext w:val="0"/>
        <w:keepLines w:val="0"/>
        <w:pageBreakBefore w:val="0"/>
        <w:widowControl w:val="0"/>
        <w:kinsoku/>
        <w:wordWrap/>
        <w:overflowPunct/>
        <w:topLinePunct w:val="0"/>
        <w:autoSpaceDE w:val="0"/>
        <w:autoSpaceDN w:val="0"/>
        <w:bidi w:val="0"/>
        <w:adjustRightInd/>
        <w:snapToGrid/>
        <w:spacing w:before="0" w:line="440" w:lineRule="exact"/>
        <w:ind w:left="0" w:right="0"/>
        <w:textAlignment w:val="auto"/>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3"/>
        <w:rPr>
          <w:sz w:val="20"/>
        </w:rPr>
      </w:pPr>
      <w:r>
        <w:pict>
          <v:shape id="docshape9" o:spid="_x0000_s1032" o:spt="202" type="#_x0000_t202" style="position:absolute;left:0pt;margin-left:68pt;margin-top:14.2pt;height:9pt;width:10.1pt;mso-position-horizontal-relative:page;mso-wrap-distance-bottom:0pt;mso-wrap-distance-top:0pt;z-index:-251649024;mso-width-relative:page;mso-height-relative:page;" filled="f" stroked="f" coordsize="21600,21600">
            <v:path/>
            <v:fill on="f" focussize="0,0"/>
            <v:stroke on="f" joinstyle="miter"/>
            <v:imagedata o:title=""/>
            <o:lock v:ext="edit"/>
            <v:textbox inset="0mm,0mm,0mm,0mm">
              <w:txbxContent>
                <w:p>
                  <w:pPr>
                    <w:spacing w:before="0" w:line="180" w:lineRule="exact"/>
                    <w:ind w:left="0" w:right="0" w:firstLine="0"/>
                    <w:jc w:val="left"/>
                    <w:rPr>
                      <w:sz w:val="18"/>
                    </w:rPr>
                  </w:pPr>
                  <w:r>
                    <w:rPr>
                      <w:spacing w:val="-5"/>
                      <w:sz w:val="18"/>
                    </w:rPr>
                    <w:t>II</w:t>
                  </w:r>
                </w:p>
              </w:txbxContent>
            </v:textbox>
            <w10:wrap type="topAndBottom"/>
          </v:shape>
        </w:pict>
      </w:r>
    </w:p>
    <w:p>
      <w:pPr>
        <w:spacing w:after="0"/>
        <w:rPr>
          <w:sz w:val="20"/>
        </w:rPr>
        <w:sectPr>
          <w:pgSz w:w="11910" w:h="16840"/>
          <w:pgMar w:top="1640" w:right="260" w:bottom="280" w:left="240" w:header="1449" w:footer="0" w:gutter="0"/>
          <w:cols w:space="720" w:num="1"/>
        </w:sectPr>
      </w:pPr>
    </w:p>
    <w:p>
      <w:pPr>
        <w:pStyle w:val="3"/>
        <w:rPr>
          <w:sz w:val="20"/>
        </w:rPr>
      </w:pPr>
    </w:p>
    <w:p>
      <w:pPr>
        <w:pStyle w:val="3"/>
        <w:rPr>
          <w:sz w:val="20"/>
        </w:rPr>
      </w:pPr>
    </w:p>
    <w:p>
      <w:pPr>
        <w:pStyle w:val="3"/>
        <w:spacing w:before="3"/>
        <w:rPr>
          <w:sz w:val="15"/>
        </w:rPr>
      </w:pPr>
    </w:p>
    <w:p>
      <w:pPr>
        <w:pStyle w:val="2"/>
        <w:ind w:left="303"/>
        <w:rPr>
          <w:rFonts w:hint="eastAsia" w:eastAsia="黑体"/>
          <w:lang w:val="en-US" w:eastAsia="zh-CN"/>
        </w:rPr>
      </w:pPr>
      <w:r>
        <w:t>会展组展</w:t>
      </w:r>
      <w:r>
        <w:rPr>
          <w:spacing w:val="-5"/>
        </w:rPr>
        <w:t>企业</w:t>
      </w:r>
      <w:r>
        <w:t>商务诚信评价指标</w:t>
      </w:r>
      <w:r>
        <w:rPr>
          <w:rFonts w:hint="eastAsia"/>
          <w:spacing w:val="35"/>
          <w:w w:val="150"/>
          <w:lang w:val="en-US" w:eastAsia="zh-CN"/>
        </w:rPr>
        <w:t xml:space="preserve"> </w:t>
      </w:r>
    </w:p>
    <w:p>
      <w:pPr>
        <w:pStyle w:val="3"/>
        <w:rPr>
          <w:rFonts w:ascii="黑体"/>
          <w:sz w:val="20"/>
        </w:rPr>
      </w:pPr>
    </w:p>
    <w:p>
      <w:pPr>
        <w:pStyle w:val="3"/>
        <w:spacing w:before="11"/>
        <w:rPr>
          <w:rFonts w:ascii="黑体"/>
          <w:sz w:val="28"/>
        </w:rPr>
      </w:pPr>
    </w:p>
    <w:p>
      <w:pPr>
        <w:pStyle w:val="10"/>
        <w:numPr>
          <w:ilvl w:val="0"/>
          <w:numId w:val="1"/>
        </w:numPr>
        <w:tabs>
          <w:tab w:val="left" w:pos="1493"/>
        </w:tabs>
        <w:spacing w:before="70" w:after="0" w:line="240" w:lineRule="auto"/>
        <w:ind w:left="1492" w:right="0" w:hanging="315"/>
        <w:jc w:val="left"/>
        <w:rPr>
          <w:rFonts w:ascii="黑体" w:eastAsia="黑体"/>
          <w:sz w:val="21"/>
        </w:rPr>
      </w:pPr>
      <w:r>
        <w:rPr>
          <w:rFonts w:ascii="黑体" w:eastAsia="黑体"/>
          <w:w w:val="95"/>
          <w:sz w:val="21"/>
        </w:rPr>
        <w:t>范</w:t>
      </w:r>
      <w:r>
        <w:rPr>
          <w:rFonts w:ascii="黑体" w:eastAsia="黑体"/>
          <w:spacing w:val="-10"/>
          <w:sz w:val="21"/>
        </w:rPr>
        <w:t>围</w:t>
      </w:r>
    </w:p>
    <w:p>
      <w:pPr>
        <w:pStyle w:val="3"/>
        <w:spacing w:before="9"/>
        <w:rPr>
          <w:rFonts w:ascii="黑体"/>
          <w:sz w:val="27"/>
        </w:rPr>
      </w:pPr>
    </w:p>
    <w:p>
      <w:pPr>
        <w:pStyle w:val="3"/>
        <w:spacing w:line="278" w:lineRule="auto"/>
        <w:ind w:left="1598" w:right="988"/>
      </w:pPr>
      <w:r>
        <w:rPr>
          <w:spacing w:val="-1"/>
          <w:w w:val="99"/>
        </w:rPr>
        <w:t>本文件规定了会展组展企业商务诚信评价指标的术语和定义、基本原则和商务诚信指标等内容。本文件适用于会展组展企业开展商务诚信自评或第三方开展会展组展企业商务诚信评价。</w:t>
      </w:r>
    </w:p>
    <w:p>
      <w:pPr>
        <w:pStyle w:val="3"/>
        <w:spacing w:before="4"/>
        <w:rPr>
          <w:sz w:val="24"/>
        </w:rPr>
      </w:pPr>
    </w:p>
    <w:p>
      <w:pPr>
        <w:pStyle w:val="10"/>
        <w:numPr>
          <w:ilvl w:val="0"/>
          <w:numId w:val="1"/>
        </w:numPr>
        <w:tabs>
          <w:tab w:val="left" w:pos="1493"/>
        </w:tabs>
        <w:spacing w:before="0" w:after="0" w:line="240" w:lineRule="auto"/>
        <w:ind w:left="1492" w:right="0" w:hanging="315"/>
        <w:jc w:val="left"/>
        <w:rPr>
          <w:rFonts w:ascii="黑体" w:eastAsia="黑体"/>
          <w:sz w:val="21"/>
        </w:rPr>
      </w:pPr>
      <w:r>
        <w:rPr>
          <w:rFonts w:ascii="黑体" w:eastAsia="黑体"/>
          <w:spacing w:val="-2"/>
          <w:w w:val="95"/>
          <w:sz w:val="21"/>
        </w:rPr>
        <w:t>规范性引用文件</w:t>
      </w:r>
    </w:p>
    <w:p>
      <w:pPr>
        <w:pStyle w:val="3"/>
        <w:spacing w:before="9"/>
        <w:rPr>
          <w:rFonts w:ascii="黑体"/>
          <w:sz w:val="27"/>
        </w:rPr>
      </w:pPr>
    </w:p>
    <w:p>
      <w:pPr>
        <w:pStyle w:val="3"/>
        <w:spacing w:line="278" w:lineRule="auto"/>
        <w:ind w:left="1178" w:right="768" w:firstLine="420"/>
      </w:pPr>
      <w:r>
        <w:rPr>
          <w:spacing w:val="-8"/>
          <w:w w:val="99"/>
        </w:rPr>
        <w:t>下列文件中的内容通过文中的规范性引用而构成本文件必不可少的条款。其中，注日期的引用文件，</w:t>
      </w:r>
      <w:r>
        <w:rPr>
          <w:spacing w:val="-5"/>
          <w:w w:val="99"/>
        </w:rPr>
        <w:t>仅该日期对应的版本适用于本文件；不注日期的引用文件，其最新版本</w:t>
      </w:r>
      <w:r>
        <w:rPr>
          <w:spacing w:val="2"/>
          <w:w w:val="99"/>
        </w:rPr>
        <w:t>（</w:t>
      </w:r>
      <w:r>
        <w:rPr>
          <w:spacing w:val="-1"/>
          <w:w w:val="99"/>
        </w:rPr>
        <w:t>包括所有的修改单</w:t>
      </w:r>
      <w:r>
        <w:rPr>
          <w:spacing w:val="-25"/>
          <w:w w:val="99"/>
        </w:rPr>
        <w:t>）</w:t>
      </w:r>
      <w:r>
        <w:rPr>
          <w:spacing w:val="-1"/>
          <w:w w:val="99"/>
        </w:rPr>
        <w:t>适用于本</w:t>
      </w:r>
      <w:r>
        <w:rPr>
          <w:w w:val="99"/>
        </w:rPr>
        <w:t>文件。</w:t>
      </w:r>
    </w:p>
    <w:p>
      <w:pPr>
        <w:pStyle w:val="3"/>
        <w:spacing w:line="269" w:lineRule="exact"/>
        <w:ind w:left="1598"/>
      </w:pPr>
    </w:p>
    <w:p>
      <w:pPr>
        <w:pStyle w:val="3"/>
        <w:spacing w:before="9"/>
        <w:rPr>
          <w:sz w:val="27"/>
        </w:rPr>
      </w:pPr>
    </w:p>
    <w:p>
      <w:pPr>
        <w:pStyle w:val="10"/>
        <w:numPr>
          <w:ilvl w:val="0"/>
          <w:numId w:val="1"/>
        </w:numPr>
        <w:tabs>
          <w:tab w:val="left" w:pos="1493"/>
        </w:tabs>
        <w:spacing w:before="0" w:after="0" w:line="240" w:lineRule="auto"/>
        <w:ind w:left="1492" w:right="0" w:hanging="315"/>
        <w:jc w:val="left"/>
        <w:rPr>
          <w:rFonts w:ascii="黑体" w:eastAsia="黑体"/>
          <w:sz w:val="21"/>
        </w:rPr>
      </w:pPr>
      <w:r>
        <w:rPr>
          <w:rFonts w:ascii="黑体" w:eastAsia="黑体"/>
          <w:spacing w:val="-2"/>
          <w:w w:val="95"/>
          <w:sz w:val="21"/>
        </w:rPr>
        <w:t>术语和定义</w:t>
      </w:r>
    </w:p>
    <w:p>
      <w:pPr>
        <w:pStyle w:val="3"/>
        <w:spacing w:before="9"/>
        <w:rPr>
          <w:rFonts w:ascii="黑体"/>
          <w:sz w:val="27"/>
        </w:rPr>
      </w:pPr>
    </w:p>
    <w:p>
      <w:pPr>
        <w:pStyle w:val="3"/>
        <w:ind w:left="1598"/>
      </w:pPr>
      <w:r>
        <w:rPr>
          <w:w w:val="95"/>
        </w:rPr>
        <w:t>GB/T</w:t>
      </w:r>
      <w:r>
        <w:rPr>
          <w:spacing w:val="47"/>
        </w:rPr>
        <w:t xml:space="preserve">  </w:t>
      </w:r>
      <w:r>
        <w:rPr>
          <w:w w:val="95"/>
        </w:rPr>
        <w:t>26165</w:t>
      </w:r>
      <w:r>
        <w:rPr>
          <w:spacing w:val="-1"/>
          <w:w w:val="95"/>
        </w:rPr>
        <w:t>界定的以及下列术语和定义适用于本文件。</w:t>
      </w:r>
    </w:p>
    <w:p>
      <w:pPr>
        <w:pStyle w:val="3"/>
        <w:spacing w:before="7"/>
        <w:rPr>
          <w:sz w:val="4"/>
        </w:rPr>
      </w:pPr>
      <w:r>
        <w:pict>
          <v:shape id="docshape10" o:spid="_x0000_s1033" o:spt="202" type="#_x0000_t202" style="position:absolute;left:0pt;margin-left:70.9pt;margin-top:19.25pt;height:57.25pt;width:468.9pt;mso-position-horizontal-relative:page;z-index:-251654144;mso-width-relative:page;mso-height-relative:page;" filled="f" stroked="f" coordsize="21600,21600">
            <v:path/>
            <v:fill on="f" focussize="0,0"/>
            <v:stroke on="f" joinstyle="miter"/>
            <v:imagedata o:title=""/>
            <o:lock v:ext="edit"/>
            <v:textbox inset="0mm,0mm,0mm,0mm">
              <w:txbxContent>
                <w:p>
                  <w:pPr>
                    <w:pStyle w:val="3"/>
                    <w:spacing w:line="239" w:lineRule="exact"/>
                    <w:ind w:left="420"/>
                    <w:rPr>
                      <w:rFonts w:ascii="黑体" w:eastAsia="黑体"/>
                    </w:rPr>
                  </w:pPr>
                  <w:r>
                    <w:rPr>
                      <w:rFonts w:ascii="黑体" w:eastAsia="黑体"/>
                    </w:rPr>
                    <w:t>会展组展企业</w:t>
                  </w:r>
                  <w:r>
                    <w:rPr>
                      <w:rFonts w:ascii="黑体" w:eastAsia="黑体"/>
                      <w:spacing w:val="42"/>
                      <w:w w:val="150"/>
                    </w:rPr>
                    <w:t xml:space="preserve"> </w:t>
                  </w:r>
                  <w:r>
                    <w:rPr>
                      <w:rFonts w:ascii="黑体" w:eastAsia="黑体"/>
                    </w:rPr>
                    <w:t>conference</w:t>
                  </w:r>
                  <w:r>
                    <w:rPr>
                      <w:rFonts w:ascii="黑体" w:eastAsia="黑体"/>
                      <w:spacing w:val="-5"/>
                    </w:rPr>
                    <w:t xml:space="preserve"> </w:t>
                  </w:r>
                  <w:r>
                    <w:rPr>
                      <w:rFonts w:ascii="黑体" w:eastAsia="黑体"/>
                    </w:rPr>
                    <w:t>and</w:t>
                  </w:r>
                  <w:r>
                    <w:rPr>
                      <w:rFonts w:ascii="黑体" w:eastAsia="黑体"/>
                      <w:spacing w:val="-6"/>
                    </w:rPr>
                    <w:t xml:space="preserve"> </w:t>
                  </w:r>
                  <w:r>
                    <w:rPr>
                      <w:rFonts w:ascii="黑体" w:eastAsia="黑体"/>
                    </w:rPr>
                    <w:t>exhibition</w:t>
                  </w:r>
                  <w:r>
                    <w:rPr>
                      <w:rFonts w:ascii="黑体" w:eastAsia="黑体"/>
                      <w:spacing w:val="-7"/>
                    </w:rPr>
                    <w:t xml:space="preserve"> </w:t>
                  </w:r>
                  <w:r>
                    <w:rPr>
                      <w:rFonts w:ascii="黑体" w:eastAsia="黑体"/>
                      <w:spacing w:val="-2"/>
                    </w:rPr>
                    <w:t>organizer</w:t>
                  </w:r>
                </w:p>
                <w:p>
                  <w:pPr>
                    <w:pStyle w:val="3"/>
                    <w:spacing w:before="43" w:line="278" w:lineRule="auto"/>
                    <w:ind w:right="18" w:firstLine="420"/>
                  </w:pPr>
                  <w:r>
                    <w:rPr>
                      <w:spacing w:val="-7"/>
                      <w:w w:val="99"/>
                    </w:rPr>
                    <w:t>主办或承办会议、展览会等活动，独立开展策划、组织、实施与管理工作，依法登记的具有法人资</w:t>
                  </w:r>
                  <w:r>
                    <w:rPr>
                      <w:spacing w:val="-1"/>
                      <w:w w:val="99"/>
                    </w:rPr>
                    <w:t>格的企业，不包括组展代理商。</w:t>
                  </w:r>
                </w:p>
                <w:p>
                  <w:pPr>
                    <w:pStyle w:val="3"/>
                    <w:spacing w:line="239" w:lineRule="exact"/>
                    <w:ind w:left="420"/>
                  </w:pPr>
                  <w:r>
                    <w:rPr>
                      <w:w w:val="95"/>
                    </w:rPr>
                    <w:t>[来源：SB/T</w:t>
                  </w:r>
                  <w:r>
                    <w:rPr>
                      <w:spacing w:val="20"/>
                    </w:rPr>
                    <w:t xml:space="preserve">  </w:t>
                  </w:r>
                  <w:r>
                    <w:rPr>
                      <w:w w:val="95"/>
                    </w:rPr>
                    <w:t>10838—2012,3.1</w:t>
                  </w:r>
                  <w:r>
                    <w:rPr>
                      <w:spacing w:val="-2"/>
                      <w:w w:val="95"/>
                    </w:rPr>
                    <w:t>,有修改]</w:t>
                  </w:r>
                </w:p>
              </w:txbxContent>
            </v:textbox>
          </v:shape>
        </w:pict>
      </w:r>
      <w:r>
        <w:pict>
          <v:shape id="docshape11" o:spid="_x0000_s1034" o:spt="202" type="#_x0000_t202" style="position:absolute;left:0pt;margin-left:70.9pt;margin-top:97.25pt;height:10.45pt;width:58.65pt;mso-position-horizontal-relative:page;z-index:-251653120;mso-width-relative:page;mso-height-relative:page;" filled="f" stroked="f" coordsize="21600,21600">
            <v:path/>
            <v:fill on="f" focussize="0,0"/>
            <v:stroke on="f" joinstyle="miter"/>
            <v:imagedata o:title=""/>
            <o:lock v:ext="edit"/>
            <v:textbox inset="0mm,0mm,0mm,0mm">
              <w:txbxContent>
                <w:p>
                  <w:pPr>
                    <w:pStyle w:val="3"/>
                    <w:spacing w:line="209" w:lineRule="exact"/>
                    <w:rPr>
                      <w:rFonts w:ascii="黑体" w:eastAsia="黑体"/>
                    </w:rPr>
                  </w:pPr>
                  <w:r>
                    <w:rPr>
                      <w:rFonts w:ascii="黑体" w:eastAsia="黑体"/>
                    </w:rPr>
                    <w:t>4</w:t>
                  </w:r>
                  <w:r>
                    <w:rPr>
                      <w:rFonts w:ascii="黑体" w:eastAsia="黑体"/>
                      <w:spacing w:val="44"/>
                      <w:w w:val="150"/>
                    </w:rPr>
                    <w:t xml:space="preserve"> </w:t>
                  </w:r>
                  <w:r>
                    <w:rPr>
                      <w:rFonts w:ascii="黑体" w:eastAsia="黑体"/>
                      <w:spacing w:val="-3"/>
                    </w:rPr>
                    <w:t>基本原则</w:t>
                  </w:r>
                </w:p>
              </w:txbxContent>
            </v:textbox>
          </v:shape>
        </w:pict>
      </w:r>
      <w:r>
        <w:pict>
          <v:shape id="docshape13" o:spid="_x0000_s1036" o:spt="202" type="#_x0000_t202" style="position:absolute;left:0pt;margin-left:70.9pt;margin-top:276.65pt;height:10.45pt;width:100.65pt;mso-position-horizontal-relative:page;z-index:-251652096;mso-width-relative:page;mso-height-relative:page;" filled="f" stroked="f" coordsize="21600,21600">
            <v:path/>
            <v:fill on="f" focussize="0,0"/>
            <v:stroke on="f" joinstyle="miter"/>
            <v:imagedata o:title=""/>
            <o:lock v:ext="edit"/>
            <v:textbox inset="0mm,0mm,0mm,0mm">
              <w:txbxContent>
                <w:p>
                  <w:pPr>
                    <w:pStyle w:val="3"/>
                    <w:spacing w:line="209" w:lineRule="exact"/>
                    <w:rPr>
                      <w:rFonts w:ascii="黑体" w:eastAsia="黑体"/>
                    </w:rPr>
                  </w:pPr>
                  <w:r>
                    <w:rPr>
                      <w:rFonts w:ascii="黑体" w:eastAsia="黑体"/>
                    </w:rPr>
                    <w:t>5</w:t>
                  </w:r>
                  <w:r>
                    <w:rPr>
                      <w:rFonts w:ascii="黑体" w:eastAsia="黑体"/>
                      <w:spacing w:val="37"/>
                      <w:w w:val="150"/>
                    </w:rPr>
                    <w:t xml:space="preserve"> </w:t>
                  </w:r>
                  <w:r>
                    <w:rPr>
                      <w:rFonts w:ascii="黑体" w:eastAsia="黑体"/>
                      <w:spacing w:val="-2"/>
                    </w:rPr>
                    <w:t>商务诚信评价指标</w:t>
                  </w:r>
                </w:p>
              </w:txbxContent>
            </v:textbox>
          </v:shape>
        </w:pict>
      </w:r>
      <w:r>
        <w:pict>
          <v:shape id="docshape14" o:spid="_x0000_s1037" o:spt="202" type="#_x0000_t202" style="position:absolute;left:0pt;margin-left:70.9pt;margin-top:307.85pt;height:56pt;width:468.65pt;mso-position-horizontal-relative:page;z-index:-251652096;mso-width-relative:page;mso-height-relative:page;" filled="f" stroked="f" coordsize="21600,21600">
            <v:path/>
            <v:fill on="f" focussize="0,0"/>
            <v:stroke on="f"/>
            <v:imagedata o:title=""/>
            <o:lock v:ext="edit" aspectratio="f"/>
            <v:textbox inset="0mm,0mm,0mm,0mm">
              <w:txbxContent>
                <w:p>
                  <w:pPr>
                    <w:pStyle w:val="3"/>
                    <w:spacing w:line="239" w:lineRule="exact"/>
                    <w:rPr>
                      <w:rFonts w:ascii="黑体" w:eastAsia="黑体"/>
                      <w:spacing w:val="-2"/>
                    </w:rPr>
                  </w:pPr>
                  <w:r>
                    <w:rPr>
                      <w:rFonts w:hint="eastAsia" w:ascii="黑体" w:eastAsia="黑体"/>
                      <w:spacing w:val="-2"/>
                      <w:lang w:val="en-US" w:eastAsia="zh-CN"/>
                    </w:rPr>
                    <w:t>5.1 评价</w:t>
                  </w:r>
                  <w:r>
                    <w:rPr>
                      <w:rFonts w:ascii="黑体" w:eastAsia="黑体"/>
                      <w:spacing w:val="-2"/>
                    </w:rPr>
                    <w:t>指标</w:t>
                  </w:r>
                </w:p>
                <w:p>
                  <w:pPr>
                    <w:pStyle w:val="3"/>
                    <w:spacing w:line="239" w:lineRule="exact"/>
                    <w:ind w:left="525"/>
                    <w:rPr>
                      <w:w w:val="95"/>
                    </w:rPr>
                  </w:pPr>
                </w:p>
                <w:p>
                  <w:pPr>
                    <w:pStyle w:val="3"/>
                    <w:spacing w:line="239" w:lineRule="exact"/>
                    <w:ind w:left="525"/>
                  </w:pPr>
                  <w:r>
                    <w:rPr>
                      <w:w w:val="95"/>
                    </w:rPr>
                    <w:t>会展组展企业商务诚信评价指标包括</w:t>
                  </w:r>
                  <w:r>
                    <w:rPr>
                      <w:spacing w:val="13"/>
                    </w:rPr>
                    <w:t xml:space="preserve"> </w:t>
                  </w:r>
                  <w:r>
                    <w:rPr>
                      <w:w w:val="95"/>
                    </w:rPr>
                    <w:t>3</w:t>
                  </w:r>
                  <w:r>
                    <w:rPr>
                      <w:spacing w:val="12"/>
                    </w:rPr>
                    <w:t xml:space="preserve"> </w:t>
                  </w:r>
                  <w:r>
                    <w:rPr>
                      <w:w w:val="95"/>
                    </w:rPr>
                    <w:t>个一级指标，11</w:t>
                  </w:r>
                  <w:r>
                    <w:rPr>
                      <w:spacing w:val="12"/>
                    </w:rPr>
                    <w:t xml:space="preserve"> </w:t>
                  </w:r>
                  <w:r>
                    <w:rPr>
                      <w:w w:val="95"/>
                    </w:rPr>
                    <w:t>个二级指标，36</w:t>
                  </w:r>
                  <w:r>
                    <w:rPr>
                      <w:spacing w:val="16"/>
                    </w:rPr>
                    <w:t xml:space="preserve"> </w:t>
                  </w:r>
                  <w:r>
                    <w:rPr>
                      <w:w w:val="95"/>
                    </w:rPr>
                    <w:t>个三级指标</w:t>
                  </w:r>
                  <w:r>
                    <w:rPr>
                      <w:spacing w:val="-2"/>
                      <w:w w:val="95"/>
                    </w:rPr>
                    <w:t>。其中一级指</w:t>
                  </w:r>
                </w:p>
                <w:p>
                  <w:pPr>
                    <w:pStyle w:val="3"/>
                    <w:spacing w:before="43" w:line="239" w:lineRule="exact"/>
                  </w:pPr>
                  <w:r>
                    <w:rPr>
                      <w:spacing w:val="-2"/>
                      <w:w w:val="95"/>
                    </w:rPr>
                    <w:t>标内容包括：</w:t>
                  </w:r>
                </w:p>
              </w:txbxContent>
            </v:textbox>
          </v:shape>
        </w:pict>
      </w:r>
      <w:r>
        <w:pict>
          <v:shape id="docshape15" o:spid="_x0000_s1038" o:spt="202" type="#_x0000_t202" style="position:absolute;left:0pt;margin-left:522.7pt;margin-top:366.7pt;height:9pt;width:5.5pt;mso-position-horizontal-relative:page;mso-wrap-distance-bottom:0pt;mso-wrap-distance-top:0pt;z-index:-251648000;mso-width-relative:page;mso-height-relative:page;" filled="f" stroked="f" coordsize="21600,21600">
            <v:path/>
            <v:fill on="f" focussize="0,0"/>
            <v:stroke on="f" joinstyle="miter"/>
            <v:imagedata o:title=""/>
            <o:lock v:ext="edit"/>
            <v:textbox inset="0mm,0mm,0mm,0mm">
              <w:txbxContent>
                <w:p>
                  <w:pPr>
                    <w:spacing w:before="0" w:line="180" w:lineRule="exact"/>
                    <w:ind w:left="0" w:right="0" w:firstLine="0"/>
                    <w:jc w:val="left"/>
                    <w:rPr>
                      <w:sz w:val="18"/>
                    </w:rPr>
                  </w:pPr>
                  <w:r>
                    <w:rPr>
                      <w:sz w:val="18"/>
                    </w:rPr>
                    <w:t>1</w:t>
                  </w:r>
                </w:p>
              </w:txbxContent>
            </v:textbox>
            <w10:wrap type="topAndBottom"/>
          </v:shape>
        </w:pict>
      </w:r>
    </w:p>
    <w:p>
      <w:pPr>
        <w:spacing w:after="0"/>
        <w:rPr>
          <w:sz w:val="4"/>
        </w:rPr>
        <w:sectPr>
          <w:pgSz w:w="11910" w:h="16840"/>
          <w:pgMar w:top="1640" w:right="260" w:bottom="280" w:left="240" w:header="1449" w:footer="0" w:gutter="0"/>
          <w:cols w:space="720" w:num="1"/>
        </w:sectPr>
      </w:pPr>
      <w:r>
        <w:pict>
          <v:shape id="docshape12" o:spid="_x0000_s1035" o:spt="202" type="#_x0000_t202" style="position:absolute;left:0pt;margin-left:65.7pt;margin-top:125.45pt;height:127.5pt;width:480.05pt;mso-position-horizontal-relative:page;z-index:-251653120;mso-width-relative:page;mso-height-relative:page;" filled="f" stroked="f" coordsize="21600,21600">
            <v:path/>
            <v:fill on="f" focussize="0,0"/>
            <v:stroke on="f"/>
            <v:imagedata o:title=""/>
            <o:lock v:ext="edit" aspectratio="f"/>
            <v:textbox inset="0mm,0mm,0mm,0mm">
              <w:txbxContent>
                <w:p>
                  <w:pPr>
                    <w:pStyle w:val="3"/>
                    <w:spacing w:line="239" w:lineRule="exact"/>
                    <w:ind w:left="105"/>
                    <w:rPr>
                      <w:rFonts w:ascii="黑体" w:eastAsia="黑体"/>
                    </w:rPr>
                  </w:pPr>
                  <w:r>
                    <w:rPr>
                      <w:rFonts w:hint="eastAsia" w:ascii="黑体" w:eastAsia="黑体"/>
                      <w:spacing w:val="-4"/>
                      <w:w w:val="95"/>
                      <w:lang w:val="en-US" w:eastAsia="zh-CN"/>
                    </w:rPr>
                    <w:t xml:space="preserve">4.1 </w:t>
                  </w:r>
                  <w:r>
                    <w:rPr>
                      <w:rFonts w:ascii="黑体" w:eastAsia="黑体"/>
                      <w:spacing w:val="-4"/>
                      <w:w w:val="95"/>
                    </w:rPr>
                    <w:t>科学性</w:t>
                  </w:r>
                </w:p>
                <w:p>
                  <w:pPr>
                    <w:pStyle w:val="3"/>
                    <w:spacing w:before="6"/>
                    <w:rPr>
                      <w:rFonts w:ascii="黑体"/>
                      <w:sz w:val="15"/>
                    </w:rPr>
                  </w:pPr>
                </w:p>
                <w:p>
                  <w:pPr>
                    <w:pStyle w:val="3"/>
                    <w:ind w:firstLine="591" w:firstLineChars="300"/>
                  </w:pPr>
                  <w:r>
                    <w:rPr>
                      <w:spacing w:val="-1"/>
                      <w:w w:val="95"/>
                    </w:rPr>
                    <w:t>指标内容应包括影响会展组展企业商务诚信的主要因素，能够反映会展组展企业商务诚信状况。</w:t>
                  </w:r>
                </w:p>
                <w:p>
                  <w:pPr>
                    <w:pStyle w:val="3"/>
                    <w:spacing w:before="7"/>
                    <w:rPr>
                      <w:sz w:val="15"/>
                    </w:rPr>
                  </w:pPr>
                </w:p>
                <w:p>
                  <w:pPr>
                    <w:pStyle w:val="3"/>
                    <w:ind w:left="105"/>
                    <w:rPr>
                      <w:rFonts w:ascii="黑体" w:eastAsia="黑体"/>
                    </w:rPr>
                  </w:pPr>
                  <w:r>
                    <w:rPr>
                      <w:rFonts w:hint="eastAsia" w:ascii="黑体" w:eastAsia="黑体"/>
                      <w:spacing w:val="-4"/>
                      <w:w w:val="95"/>
                      <w:lang w:val="en-US" w:eastAsia="zh-CN"/>
                    </w:rPr>
                    <w:t xml:space="preserve">4.2 </w:t>
                  </w:r>
                  <w:r>
                    <w:rPr>
                      <w:rFonts w:ascii="黑体" w:eastAsia="黑体"/>
                      <w:spacing w:val="-4"/>
                      <w:w w:val="95"/>
                    </w:rPr>
                    <w:t>合理性</w:t>
                  </w:r>
                </w:p>
                <w:p>
                  <w:pPr>
                    <w:pStyle w:val="3"/>
                    <w:spacing w:before="7"/>
                    <w:rPr>
                      <w:rFonts w:ascii="黑体"/>
                      <w:sz w:val="15"/>
                    </w:rPr>
                  </w:pPr>
                </w:p>
                <w:p>
                  <w:pPr>
                    <w:pStyle w:val="3"/>
                    <w:ind w:firstLine="591" w:firstLineChars="300"/>
                  </w:pPr>
                  <w:r>
                    <w:rPr>
                      <w:spacing w:val="-1"/>
                      <w:w w:val="95"/>
                    </w:rPr>
                    <w:t>指标之间应有机配合，结构合理，避免重复和矛盾。</w:t>
                  </w:r>
                </w:p>
                <w:p>
                  <w:pPr>
                    <w:pStyle w:val="3"/>
                    <w:spacing w:before="7"/>
                    <w:rPr>
                      <w:sz w:val="15"/>
                    </w:rPr>
                  </w:pPr>
                </w:p>
                <w:p>
                  <w:pPr>
                    <w:pStyle w:val="3"/>
                    <w:ind w:left="105"/>
                    <w:rPr>
                      <w:rFonts w:ascii="黑体" w:eastAsia="黑体"/>
                    </w:rPr>
                  </w:pPr>
                  <w:r>
                    <w:rPr>
                      <w:rFonts w:hint="eastAsia" w:ascii="黑体" w:eastAsia="黑体"/>
                      <w:spacing w:val="-4"/>
                      <w:w w:val="95"/>
                      <w:lang w:val="en-US" w:eastAsia="zh-CN"/>
                    </w:rPr>
                    <w:t xml:space="preserve">4.2  </w:t>
                  </w:r>
                  <w:r>
                    <w:rPr>
                      <w:rFonts w:ascii="黑体" w:eastAsia="黑体"/>
                      <w:spacing w:val="-4"/>
                      <w:w w:val="95"/>
                    </w:rPr>
                    <w:t>适用性</w:t>
                  </w:r>
                </w:p>
                <w:p>
                  <w:pPr>
                    <w:pStyle w:val="3"/>
                    <w:spacing w:before="6"/>
                    <w:rPr>
                      <w:rFonts w:ascii="黑体"/>
                      <w:sz w:val="15"/>
                    </w:rPr>
                  </w:pPr>
                </w:p>
                <w:p>
                  <w:pPr>
                    <w:pStyle w:val="3"/>
                    <w:spacing w:line="239" w:lineRule="exact"/>
                    <w:ind w:firstLine="591" w:firstLineChars="300"/>
                  </w:pPr>
                  <w:r>
                    <w:rPr>
                      <w:spacing w:val="-1"/>
                      <w:w w:val="95"/>
                    </w:rPr>
                    <w:t>各项指标应便于理解、采集和使用，能反映会展行业领域特点。</w:t>
                  </w:r>
                </w:p>
              </w:txbxContent>
            </v:textbox>
          </v:shape>
        </w:pict>
      </w:r>
    </w:p>
    <w:p>
      <w:pPr>
        <w:pStyle w:val="3"/>
        <w:spacing w:before="1"/>
        <w:rPr>
          <w:sz w:val="8"/>
        </w:rPr>
      </w:pPr>
    </w:p>
    <w:p>
      <w:pPr>
        <w:pStyle w:val="10"/>
        <w:numPr>
          <w:ilvl w:val="1"/>
          <w:numId w:val="1"/>
        </w:numPr>
        <w:tabs>
          <w:tab w:val="left" w:pos="1745"/>
        </w:tabs>
        <w:spacing w:before="70" w:after="0" w:line="278" w:lineRule="auto"/>
        <w:ind w:left="1744" w:right="1158" w:hanging="425"/>
        <w:jc w:val="left"/>
        <w:rPr>
          <w:sz w:val="21"/>
        </w:rPr>
      </w:pPr>
      <w:r>
        <w:rPr>
          <w:spacing w:val="1"/>
          <w:w w:val="99"/>
          <w:sz w:val="21"/>
        </w:rPr>
        <w:t>诚信意愿：会展组展企业的基本诚信素质，涉及的会展组展企业道德文化理念、精神素养、</w:t>
      </w:r>
      <w:r>
        <w:rPr>
          <w:spacing w:val="-1"/>
          <w:w w:val="99"/>
          <w:sz w:val="21"/>
        </w:rPr>
        <w:t>行为准则、追求的诚信目标等；</w:t>
      </w:r>
    </w:p>
    <w:p>
      <w:pPr>
        <w:pStyle w:val="10"/>
        <w:numPr>
          <w:ilvl w:val="1"/>
          <w:numId w:val="1"/>
        </w:numPr>
        <w:tabs>
          <w:tab w:val="left" w:pos="1745"/>
        </w:tabs>
        <w:spacing w:before="0" w:after="0" w:line="269" w:lineRule="exact"/>
        <w:ind w:left="1744" w:right="0" w:hanging="425"/>
        <w:jc w:val="left"/>
        <w:rPr>
          <w:sz w:val="21"/>
        </w:rPr>
      </w:pPr>
      <w:r>
        <w:rPr>
          <w:spacing w:val="-1"/>
          <w:w w:val="95"/>
          <w:sz w:val="21"/>
        </w:rPr>
        <w:t>诚信能力：会展组展企业在商务活动中遵守交易规则的能力，包括成交能力和履约能力等；</w:t>
      </w:r>
    </w:p>
    <w:p>
      <w:pPr>
        <w:pStyle w:val="10"/>
        <w:numPr>
          <w:ilvl w:val="1"/>
          <w:numId w:val="1"/>
        </w:numPr>
        <w:tabs>
          <w:tab w:val="left" w:pos="1745"/>
        </w:tabs>
        <w:spacing w:before="43" w:after="0" w:line="278" w:lineRule="auto"/>
        <w:ind w:left="1744" w:right="1158" w:hanging="425"/>
        <w:jc w:val="left"/>
        <w:rPr>
          <w:sz w:val="21"/>
        </w:rPr>
      </w:pPr>
      <w:r>
        <w:rPr>
          <w:spacing w:val="1"/>
          <w:w w:val="99"/>
          <w:sz w:val="21"/>
        </w:rPr>
        <w:t>诚信行为：会展组展企业遵守法律法规规章和其他规范性文件、行业规则、内部管理规定、</w:t>
      </w:r>
      <w:r>
        <w:rPr>
          <w:spacing w:val="-1"/>
          <w:w w:val="99"/>
          <w:sz w:val="21"/>
        </w:rPr>
        <w:t>承担利益相关方责任、兑现承诺等行为。</w:t>
      </w:r>
    </w:p>
    <w:p>
      <w:pPr>
        <w:pStyle w:val="3"/>
        <w:spacing w:line="269" w:lineRule="exact"/>
        <w:ind w:left="1320"/>
        <w:rPr>
          <w:spacing w:val="-10"/>
          <w:w w:val="95"/>
        </w:rPr>
      </w:pPr>
      <w:r>
        <w:rPr>
          <w:w w:val="95"/>
        </w:rPr>
        <w:t>具体指标分类及说明见附录</w:t>
      </w:r>
      <w:r>
        <w:rPr>
          <w:spacing w:val="-10"/>
          <w:w w:val="95"/>
        </w:rPr>
        <w:t>。</w:t>
      </w:r>
    </w:p>
    <w:p>
      <w:pPr>
        <w:pStyle w:val="3"/>
        <w:spacing w:line="269" w:lineRule="exact"/>
        <w:ind w:left="1320"/>
        <w:rPr>
          <w:spacing w:val="-10"/>
          <w:w w:val="95"/>
        </w:rPr>
      </w:pPr>
    </w:p>
    <w:p>
      <w:pPr>
        <w:pStyle w:val="3"/>
        <w:spacing w:before="43" w:line="278" w:lineRule="auto"/>
        <w:ind w:left="892" w:right="1158" w:hanging="26"/>
      </w:pPr>
      <w:r>
        <w:rPr>
          <w:position w:val="-1"/>
        </w:rPr>
        <w:drawing>
          <wp:inline distT="0" distB="0" distL="0" distR="0">
            <wp:extent cx="219075" cy="122555"/>
            <wp:effectExtent l="0" t="0" r="0" b="0"/>
            <wp:docPr id="17"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7.jpeg"/>
                    <pic:cNvPicPr>
                      <a:picLocks noChangeAspect="1"/>
                    </pic:cNvPicPr>
                  </pic:nvPicPr>
                  <pic:blipFill>
                    <a:blip r:embed="rId13" cstate="print"/>
                    <a:stretch>
                      <a:fillRect/>
                    </a:stretch>
                  </pic:blipFill>
                  <pic:spPr>
                    <a:xfrm>
                      <a:off x="0" y="0"/>
                      <a:ext cx="219431" cy="122613"/>
                    </a:xfrm>
                    <a:prstGeom prst="rect">
                      <a:avLst/>
                    </a:prstGeom>
                  </pic:spPr>
                </pic:pic>
              </a:graphicData>
            </a:graphic>
          </wp:inline>
        </w:drawing>
      </w:r>
      <w:r>
        <w:rPr>
          <w:rFonts w:ascii="Times New Roman" w:eastAsia="Times New Roman"/>
          <w:spacing w:val="39"/>
          <w:sz w:val="20"/>
        </w:rPr>
        <w:t xml:space="preserve">  </w:t>
      </w:r>
      <w:r>
        <w:t>指标选取时，评价主体应根据被评对象特征以及所掌握信息及资源情况</w:t>
      </w:r>
      <w:r>
        <w:rPr>
          <w:spacing w:val="-9"/>
        </w:rPr>
        <w:t>，在符合</w:t>
      </w:r>
      <w:r>
        <w:rPr>
          <w:spacing w:val="-10"/>
        </w:rPr>
        <w:t>要求的前</w:t>
      </w:r>
      <w:r>
        <w:rPr>
          <w:spacing w:val="-2"/>
        </w:rPr>
        <w:t>提下，合理设置、调整或细化指标项。</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11"/>
        <w:rPr>
          <w:sz w:val="29"/>
        </w:rPr>
      </w:pPr>
      <w:r>
        <w:pict>
          <v:shape id="docshape16" o:spid="_x0000_s1039" o:spt="202" type="#_x0000_t202" style="position:absolute;left:0pt;margin-left:68pt;margin-top:20.3pt;height:9pt;width:5.5pt;mso-position-horizontal-relative:page;mso-wrap-distance-bottom:0pt;mso-wrap-distance-top:0pt;z-index:-251648000;mso-width-relative:page;mso-height-relative:page;" filled="f" stroked="f" coordsize="21600,21600">
            <v:path/>
            <v:fill on="f" focussize="0,0"/>
            <v:stroke on="f" joinstyle="miter"/>
            <v:imagedata o:title=""/>
            <o:lock v:ext="edit"/>
            <v:textbox inset="0mm,0mm,0mm,0mm">
              <w:txbxContent>
                <w:p>
                  <w:pPr>
                    <w:spacing w:before="0" w:line="180" w:lineRule="exact"/>
                    <w:ind w:left="0" w:right="0" w:firstLine="0"/>
                    <w:jc w:val="left"/>
                    <w:rPr>
                      <w:sz w:val="18"/>
                    </w:rPr>
                  </w:pPr>
                  <w:r>
                    <w:rPr>
                      <w:sz w:val="18"/>
                    </w:rPr>
                    <w:t>2</w:t>
                  </w:r>
                </w:p>
              </w:txbxContent>
            </v:textbox>
            <w10:wrap type="topAndBottom"/>
          </v:shape>
        </w:pict>
      </w:r>
    </w:p>
    <w:p>
      <w:pPr>
        <w:spacing w:after="0"/>
        <w:rPr>
          <w:sz w:val="29"/>
        </w:rPr>
        <w:sectPr>
          <w:pgSz w:w="11910" w:h="16840"/>
          <w:pgMar w:top="1640" w:right="260" w:bottom="280" w:left="240" w:header="1449" w:footer="0" w:gutter="0"/>
          <w:cols w:space="720" w:num="1"/>
        </w:sectPr>
      </w:pPr>
    </w:p>
    <w:p>
      <w:pPr>
        <w:pStyle w:val="3"/>
        <w:rPr>
          <w:sz w:val="2"/>
        </w:rPr>
      </w:pPr>
    </w:p>
    <w:p>
      <w:pPr>
        <w:pStyle w:val="3"/>
        <w:rPr>
          <w:sz w:val="2"/>
        </w:rPr>
      </w:pPr>
    </w:p>
    <w:p>
      <w:pPr>
        <w:pStyle w:val="3"/>
        <w:rPr>
          <w:sz w:val="2"/>
        </w:rPr>
      </w:pPr>
    </w:p>
    <w:p>
      <w:pPr>
        <w:pStyle w:val="3"/>
        <w:rPr>
          <w:sz w:val="2"/>
        </w:rPr>
      </w:pPr>
    </w:p>
    <w:p>
      <w:pPr>
        <w:pStyle w:val="3"/>
        <w:rPr>
          <w:sz w:val="2"/>
        </w:rPr>
      </w:pPr>
    </w:p>
    <w:p>
      <w:pPr>
        <w:spacing w:before="14" w:line="20" w:lineRule="exact"/>
        <w:ind w:left="315" w:right="0" w:firstLine="0"/>
        <w:jc w:val="center"/>
        <w:rPr>
          <w:rFonts w:ascii="黑体"/>
          <w:sz w:val="2"/>
        </w:rPr>
      </w:pPr>
      <w:r>
        <w:rPr>
          <w:rFonts w:ascii="黑体"/>
          <w:w w:val="95"/>
          <w:sz w:val="2"/>
        </w:rPr>
        <w:t>A</w:t>
      </w:r>
    </w:p>
    <w:p>
      <w:pPr>
        <w:spacing w:before="0" w:line="20" w:lineRule="exact"/>
        <w:ind w:left="718" w:right="0" w:firstLine="0"/>
        <w:jc w:val="center"/>
        <w:rPr>
          <w:sz w:val="2"/>
        </w:rPr>
      </w:pPr>
      <w:r>
        <w:rPr>
          <w:w w:val="95"/>
          <w:sz w:val="2"/>
        </w:rPr>
        <w:t>A</w:t>
      </w:r>
    </w:p>
    <w:p>
      <w:pPr>
        <w:pStyle w:val="3"/>
        <w:tabs>
          <w:tab w:val="left" w:pos="1125"/>
        </w:tabs>
        <w:spacing w:before="97"/>
        <w:ind w:left="204"/>
        <w:jc w:val="center"/>
        <w:rPr>
          <w:rFonts w:hint="eastAsia" w:ascii="黑体" w:eastAsia="黑体"/>
          <w:lang w:eastAsia="zh-CN"/>
        </w:rPr>
      </w:pPr>
      <w:r>
        <w:rPr>
          <w:rFonts w:hint="eastAsia" w:ascii="黑体" w:eastAsia="黑体"/>
          <w:lang w:val="en-US" w:eastAsia="zh-CN"/>
        </w:rPr>
        <w:t xml:space="preserve">  </w:t>
      </w:r>
      <w:r>
        <w:rPr>
          <w:rFonts w:ascii="黑体" w:eastAsia="黑体"/>
        </w:rPr>
        <w:t>附</w:t>
      </w:r>
      <w:r>
        <w:rPr>
          <w:rFonts w:ascii="黑体" w:eastAsia="黑体"/>
          <w:spacing w:val="41"/>
          <w:w w:val="150"/>
        </w:rPr>
        <w:t xml:space="preserve"> </w:t>
      </w:r>
      <w:r>
        <w:rPr>
          <w:rFonts w:ascii="黑体" w:eastAsia="黑体"/>
          <w:spacing w:val="-10"/>
        </w:rPr>
        <w:t>录</w:t>
      </w:r>
      <w:r>
        <w:rPr>
          <w:rFonts w:ascii="黑体" w:eastAsia="黑体"/>
        </w:rPr>
        <w:tab/>
      </w:r>
      <w:r>
        <w:rPr>
          <w:rFonts w:hint="eastAsia" w:ascii="黑体" w:eastAsia="黑体"/>
          <w:spacing w:val="-10"/>
          <w:lang w:val="en-US" w:eastAsia="zh-CN"/>
        </w:rPr>
        <w:t xml:space="preserve"> </w:t>
      </w:r>
    </w:p>
    <w:p>
      <w:pPr>
        <w:pStyle w:val="3"/>
        <w:spacing w:before="42"/>
        <w:ind w:left="303"/>
        <w:jc w:val="center"/>
        <w:rPr>
          <w:rFonts w:ascii="黑体" w:eastAsia="黑体"/>
        </w:rPr>
      </w:pPr>
      <w:r>
        <w:rPr>
          <w:rFonts w:ascii="黑体" w:eastAsia="黑体"/>
          <w:w w:val="95"/>
        </w:rPr>
        <w:t>（规范性</w:t>
      </w:r>
      <w:r>
        <w:rPr>
          <w:rFonts w:ascii="黑体" w:eastAsia="黑体"/>
          <w:spacing w:val="-10"/>
          <w:w w:val="95"/>
        </w:rPr>
        <w:t>）</w:t>
      </w:r>
    </w:p>
    <w:p>
      <w:pPr>
        <w:pStyle w:val="3"/>
        <w:spacing w:before="43"/>
        <w:ind w:left="303"/>
        <w:jc w:val="center"/>
        <w:rPr>
          <w:rFonts w:ascii="黑体" w:eastAsia="黑体"/>
        </w:rPr>
      </w:pPr>
      <w:r>
        <w:rPr>
          <w:rFonts w:ascii="黑体" w:eastAsia="黑体"/>
          <w:spacing w:val="-1"/>
          <w:w w:val="95"/>
        </w:rPr>
        <w:t>会展组展企业商务诚信评价指标及说明</w:t>
      </w:r>
    </w:p>
    <w:p>
      <w:pPr>
        <w:pStyle w:val="3"/>
        <w:spacing w:before="7"/>
        <w:rPr>
          <w:rFonts w:ascii="黑体"/>
          <w:sz w:val="15"/>
        </w:rPr>
      </w:pPr>
    </w:p>
    <w:p>
      <w:pPr>
        <w:pStyle w:val="3"/>
        <w:spacing w:before="1"/>
        <w:ind w:left="3794"/>
        <w:rPr>
          <w:rFonts w:hint="eastAsia" w:ascii="黑体" w:eastAsia="宋体"/>
          <w:lang w:val="en-US" w:eastAsia="zh-CN"/>
        </w:rPr>
      </w:pPr>
      <w:r>
        <w:rPr>
          <w:rFonts w:hint="eastAsia"/>
          <w:w w:val="95"/>
          <w:lang w:val="en-US" w:eastAsia="zh-CN"/>
        </w:rPr>
        <w:t xml:space="preserve"> </w:t>
      </w:r>
      <w:r>
        <w:rPr>
          <w:rFonts w:hint="eastAsia"/>
          <w:sz w:val="14"/>
          <w:lang w:val="en-US" w:eastAsia="zh-CN"/>
        </w:rPr>
        <w:t xml:space="preserve"> </w:t>
      </w:r>
      <w:r>
        <w:rPr>
          <w:rFonts w:hint="eastAsia" w:ascii="黑体" w:eastAsia="黑体"/>
          <w:spacing w:val="-1"/>
          <w:w w:val="95"/>
          <w:lang w:val="en-US" w:eastAsia="zh-CN"/>
        </w:rPr>
        <w:t xml:space="preserve"> </w:t>
      </w:r>
    </w:p>
    <w:p>
      <w:pPr>
        <w:pStyle w:val="3"/>
        <w:spacing w:before="3"/>
        <w:rPr>
          <w:rFonts w:ascii="黑体"/>
          <w:sz w:val="12"/>
        </w:rPr>
      </w:pPr>
    </w:p>
    <w:tbl>
      <w:tblPr>
        <w:tblStyle w:val="7"/>
        <w:tblW w:w="0" w:type="auto"/>
        <w:tblInd w:w="120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261"/>
        <w:gridCol w:w="1418"/>
        <w:gridCol w:w="1842"/>
        <w:gridCol w:w="480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9" w:hRule="atLeast"/>
        </w:trPr>
        <w:tc>
          <w:tcPr>
            <w:tcW w:w="1261" w:type="dxa"/>
            <w:tcBorders>
              <w:right w:val="single" w:color="000000" w:sz="4" w:space="0"/>
            </w:tcBorders>
          </w:tcPr>
          <w:p>
            <w:pPr>
              <w:pStyle w:val="11"/>
              <w:spacing w:before="66"/>
              <w:ind w:left="270"/>
              <w:rPr>
                <w:sz w:val="18"/>
              </w:rPr>
            </w:pPr>
            <w:r>
              <w:rPr>
                <w:spacing w:val="-3"/>
                <w:sz w:val="18"/>
              </w:rPr>
              <w:t>一级指标</w:t>
            </w:r>
          </w:p>
        </w:tc>
        <w:tc>
          <w:tcPr>
            <w:tcW w:w="1418" w:type="dxa"/>
            <w:tcBorders>
              <w:left w:val="single" w:color="000000" w:sz="4" w:space="0"/>
              <w:right w:val="single" w:color="000000" w:sz="4" w:space="0"/>
            </w:tcBorders>
          </w:tcPr>
          <w:p>
            <w:pPr>
              <w:pStyle w:val="11"/>
              <w:spacing w:before="66"/>
              <w:ind w:left="344" w:right="315"/>
              <w:jc w:val="center"/>
              <w:rPr>
                <w:sz w:val="18"/>
              </w:rPr>
            </w:pPr>
            <w:r>
              <w:rPr>
                <w:spacing w:val="-3"/>
                <w:sz w:val="18"/>
              </w:rPr>
              <w:t>二级指标</w:t>
            </w:r>
          </w:p>
        </w:tc>
        <w:tc>
          <w:tcPr>
            <w:tcW w:w="1842" w:type="dxa"/>
            <w:tcBorders>
              <w:left w:val="single" w:color="000000" w:sz="4" w:space="0"/>
              <w:right w:val="single" w:color="000000" w:sz="4" w:space="0"/>
            </w:tcBorders>
          </w:tcPr>
          <w:p>
            <w:pPr>
              <w:pStyle w:val="11"/>
              <w:spacing w:before="66"/>
              <w:ind w:left="556" w:right="528"/>
              <w:jc w:val="center"/>
              <w:rPr>
                <w:sz w:val="18"/>
              </w:rPr>
            </w:pPr>
            <w:r>
              <w:rPr>
                <w:spacing w:val="-3"/>
                <w:sz w:val="18"/>
              </w:rPr>
              <w:t>三级指标</w:t>
            </w:r>
          </w:p>
        </w:tc>
        <w:tc>
          <w:tcPr>
            <w:tcW w:w="4803" w:type="dxa"/>
            <w:tcBorders>
              <w:left w:val="single" w:color="000000" w:sz="4" w:space="0"/>
            </w:tcBorders>
          </w:tcPr>
          <w:p>
            <w:pPr>
              <w:pStyle w:val="11"/>
              <w:spacing w:before="66"/>
              <w:ind w:left="2029" w:right="2003"/>
              <w:jc w:val="center"/>
              <w:rPr>
                <w:sz w:val="18"/>
              </w:rPr>
            </w:pPr>
            <w:r>
              <w:rPr>
                <w:spacing w:val="-3"/>
                <w:sz w:val="18"/>
              </w:rPr>
              <w:t>指标说明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35" w:hRule="atLeast"/>
        </w:trPr>
        <w:tc>
          <w:tcPr>
            <w:tcW w:w="1261" w:type="dxa"/>
            <w:vMerge w:val="restart"/>
            <w:tcBorders>
              <w:bottom w:val="single" w:color="000000" w:sz="4" w:space="0"/>
              <w:right w:val="single" w:color="000000" w:sz="4" w:space="0"/>
            </w:tcBorders>
          </w:tcPr>
          <w:p>
            <w:pPr>
              <w:pStyle w:val="11"/>
              <w:rPr>
                <w:rFonts w:ascii="黑体"/>
                <w:sz w:val="18"/>
              </w:rPr>
            </w:pPr>
          </w:p>
          <w:p>
            <w:pPr>
              <w:pStyle w:val="11"/>
              <w:rPr>
                <w:rFonts w:ascii="黑体"/>
                <w:sz w:val="18"/>
              </w:rPr>
            </w:pPr>
          </w:p>
          <w:p>
            <w:pPr>
              <w:pStyle w:val="11"/>
              <w:rPr>
                <w:rFonts w:ascii="黑体"/>
                <w:sz w:val="18"/>
              </w:rPr>
            </w:pPr>
          </w:p>
          <w:p>
            <w:pPr>
              <w:pStyle w:val="11"/>
              <w:rPr>
                <w:rFonts w:ascii="黑体"/>
                <w:sz w:val="18"/>
              </w:rPr>
            </w:pPr>
          </w:p>
          <w:p>
            <w:pPr>
              <w:pStyle w:val="11"/>
              <w:rPr>
                <w:rFonts w:ascii="黑体"/>
                <w:sz w:val="18"/>
              </w:rPr>
            </w:pPr>
          </w:p>
          <w:p>
            <w:pPr>
              <w:pStyle w:val="11"/>
              <w:rPr>
                <w:rFonts w:ascii="黑体"/>
                <w:sz w:val="18"/>
              </w:rPr>
            </w:pPr>
          </w:p>
          <w:p>
            <w:pPr>
              <w:pStyle w:val="11"/>
              <w:rPr>
                <w:rFonts w:ascii="黑体"/>
                <w:sz w:val="18"/>
              </w:rPr>
            </w:pPr>
          </w:p>
          <w:p>
            <w:pPr>
              <w:pStyle w:val="11"/>
              <w:rPr>
                <w:rFonts w:ascii="黑体"/>
                <w:sz w:val="18"/>
              </w:rPr>
            </w:pPr>
          </w:p>
          <w:p>
            <w:pPr>
              <w:pStyle w:val="11"/>
              <w:rPr>
                <w:rFonts w:ascii="黑体"/>
                <w:sz w:val="18"/>
              </w:rPr>
            </w:pPr>
          </w:p>
          <w:p>
            <w:pPr>
              <w:pStyle w:val="11"/>
              <w:rPr>
                <w:rFonts w:ascii="黑体"/>
                <w:sz w:val="18"/>
              </w:rPr>
            </w:pPr>
          </w:p>
          <w:p>
            <w:pPr>
              <w:pStyle w:val="11"/>
              <w:rPr>
                <w:rFonts w:ascii="黑体"/>
                <w:sz w:val="18"/>
              </w:rPr>
            </w:pPr>
          </w:p>
          <w:p>
            <w:pPr>
              <w:pStyle w:val="11"/>
              <w:spacing w:before="12"/>
              <w:rPr>
                <w:rFonts w:ascii="黑体"/>
                <w:sz w:val="18"/>
              </w:rPr>
            </w:pPr>
          </w:p>
          <w:p>
            <w:pPr>
              <w:pStyle w:val="11"/>
              <w:ind w:left="179"/>
              <w:rPr>
                <w:sz w:val="18"/>
              </w:rPr>
            </w:pPr>
            <w:r>
              <w:rPr>
                <w:sz w:val="18"/>
              </w:rPr>
              <w:t>1</w:t>
            </w:r>
            <w:r>
              <w:rPr>
                <w:spacing w:val="-2"/>
                <w:sz w:val="18"/>
              </w:rPr>
              <w:t xml:space="preserve"> 诚信意愿</w:t>
            </w:r>
          </w:p>
        </w:tc>
        <w:tc>
          <w:tcPr>
            <w:tcW w:w="1418" w:type="dxa"/>
            <w:vMerge w:val="restart"/>
            <w:tcBorders>
              <w:left w:val="single" w:color="000000" w:sz="4" w:space="0"/>
              <w:bottom w:val="single" w:color="000000" w:sz="4" w:space="0"/>
              <w:right w:val="single" w:color="000000" w:sz="4" w:space="0"/>
            </w:tcBorders>
          </w:tcPr>
          <w:p>
            <w:pPr>
              <w:pStyle w:val="11"/>
              <w:rPr>
                <w:rFonts w:ascii="黑体"/>
                <w:sz w:val="18"/>
              </w:rPr>
            </w:pPr>
          </w:p>
          <w:p>
            <w:pPr>
              <w:pStyle w:val="11"/>
              <w:rPr>
                <w:rFonts w:ascii="黑体"/>
                <w:sz w:val="18"/>
              </w:rPr>
            </w:pPr>
          </w:p>
          <w:p>
            <w:pPr>
              <w:pStyle w:val="11"/>
              <w:rPr>
                <w:rFonts w:ascii="黑体"/>
                <w:sz w:val="18"/>
              </w:rPr>
            </w:pPr>
          </w:p>
          <w:p>
            <w:pPr>
              <w:pStyle w:val="11"/>
              <w:spacing w:before="4"/>
              <w:rPr>
                <w:rFonts w:ascii="黑体"/>
                <w:sz w:val="21"/>
              </w:rPr>
            </w:pPr>
          </w:p>
          <w:p>
            <w:pPr>
              <w:pStyle w:val="11"/>
              <w:spacing w:before="1"/>
              <w:ind w:left="178"/>
              <w:rPr>
                <w:sz w:val="18"/>
              </w:rPr>
            </w:pPr>
            <w:r>
              <w:rPr>
                <w:sz w:val="18"/>
              </w:rPr>
              <w:t>1.1</w:t>
            </w:r>
            <w:r>
              <w:rPr>
                <w:spacing w:val="-3"/>
                <w:sz w:val="18"/>
              </w:rPr>
              <w:t xml:space="preserve"> 诚信理念</w:t>
            </w:r>
          </w:p>
        </w:tc>
        <w:tc>
          <w:tcPr>
            <w:tcW w:w="1842" w:type="dxa"/>
            <w:tcBorders>
              <w:left w:val="single" w:color="000000" w:sz="4" w:space="0"/>
              <w:bottom w:val="single" w:color="000000" w:sz="4" w:space="0"/>
              <w:right w:val="single" w:color="000000" w:sz="4" w:space="0"/>
            </w:tcBorders>
          </w:tcPr>
          <w:p>
            <w:pPr>
              <w:pStyle w:val="11"/>
              <w:rPr>
                <w:rFonts w:ascii="黑体"/>
                <w:sz w:val="18"/>
              </w:rPr>
            </w:pPr>
          </w:p>
          <w:p>
            <w:pPr>
              <w:pStyle w:val="11"/>
              <w:rPr>
                <w:rFonts w:ascii="黑体"/>
                <w:sz w:val="18"/>
              </w:rPr>
            </w:pPr>
          </w:p>
          <w:p>
            <w:pPr>
              <w:pStyle w:val="11"/>
              <w:spacing w:before="142"/>
              <w:ind w:left="301"/>
              <w:rPr>
                <w:sz w:val="18"/>
              </w:rPr>
            </w:pPr>
            <w:r>
              <w:rPr>
                <w:sz w:val="18"/>
              </w:rPr>
              <w:t>1.1.1</w:t>
            </w:r>
            <w:r>
              <w:rPr>
                <w:spacing w:val="-3"/>
                <w:sz w:val="18"/>
              </w:rPr>
              <w:t xml:space="preserve"> 发展战略</w:t>
            </w:r>
          </w:p>
        </w:tc>
        <w:tc>
          <w:tcPr>
            <w:tcW w:w="4803" w:type="dxa"/>
            <w:tcBorders>
              <w:left w:val="single" w:color="000000" w:sz="4" w:space="0"/>
              <w:bottom w:val="single" w:color="000000" w:sz="4" w:space="0"/>
            </w:tcBorders>
          </w:tcPr>
          <w:p>
            <w:pPr>
              <w:pStyle w:val="11"/>
              <w:spacing w:before="65" w:line="374" w:lineRule="auto"/>
              <w:ind w:left="107" w:right="163"/>
              <w:jc w:val="both"/>
              <w:rPr>
                <w:sz w:val="18"/>
              </w:rPr>
            </w:pPr>
            <w:r>
              <w:rPr>
                <w:spacing w:val="-2"/>
                <w:sz w:val="18"/>
              </w:rPr>
              <w:t>一定时期内对企业发展方向、发展速度和质量、发展点及发展能力的重大选择、规划和策略（包括企业的愿景、战</w:t>
            </w:r>
            <w:r>
              <w:rPr>
                <w:sz w:val="18"/>
              </w:rPr>
              <w:t>略目标、业务战略、职能战略等）</w:t>
            </w:r>
            <w:r>
              <w:rPr>
                <w:spacing w:val="-1"/>
                <w:sz w:val="18"/>
              </w:rPr>
              <w:t>是否包含商务诚信建设</w:t>
            </w:r>
          </w:p>
          <w:p>
            <w:pPr>
              <w:pStyle w:val="11"/>
              <w:spacing w:line="227" w:lineRule="exact"/>
              <w:ind w:left="107"/>
              <w:rPr>
                <w:sz w:val="18"/>
              </w:rPr>
            </w:pPr>
            <w:r>
              <w:rPr>
                <w:spacing w:val="-5"/>
                <w:sz w:val="18"/>
              </w:rPr>
              <w:t>要求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8" w:hRule="atLeast"/>
        </w:trPr>
        <w:tc>
          <w:tcPr>
            <w:tcW w:w="1261" w:type="dxa"/>
            <w:vMerge w:val="continue"/>
            <w:tcBorders>
              <w:top w:val="nil"/>
              <w:bottom w:val="single" w:color="000000" w:sz="4" w:space="0"/>
              <w:right w:val="single" w:color="000000" w:sz="4" w:space="0"/>
            </w:tcBorders>
          </w:tcPr>
          <w:p>
            <w:pPr>
              <w:rPr>
                <w:sz w:val="2"/>
                <w:szCs w:val="2"/>
              </w:rPr>
            </w:pPr>
          </w:p>
        </w:tc>
        <w:tc>
          <w:tcPr>
            <w:tcW w:w="1418" w:type="dxa"/>
            <w:vMerge w:val="continue"/>
            <w:tcBorders>
              <w:top w:val="nil"/>
              <w:left w:val="single" w:color="000000" w:sz="4" w:space="0"/>
              <w:bottom w:val="single" w:color="000000" w:sz="4" w:space="0"/>
              <w:right w:val="single" w:color="000000" w:sz="4" w:space="0"/>
            </w:tcBorders>
          </w:tcPr>
          <w:p>
            <w:pPr>
              <w:rPr>
                <w:sz w:val="2"/>
                <w:szCs w:val="2"/>
              </w:rPr>
            </w:pPr>
          </w:p>
        </w:tc>
        <w:tc>
          <w:tcPr>
            <w:tcW w:w="1842" w:type="dxa"/>
            <w:tcBorders>
              <w:top w:val="single" w:color="000000" w:sz="4" w:space="0"/>
              <w:left w:val="single" w:color="000000" w:sz="4" w:space="0"/>
              <w:bottom w:val="single" w:color="000000" w:sz="4" w:space="0"/>
              <w:right w:val="single" w:color="000000" w:sz="4" w:space="0"/>
            </w:tcBorders>
          </w:tcPr>
          <w:p>
            <w:pPr>
              <w:pStyle w:val="11"/>
              <w:spacing w:before="1"/>
              <w:rPr>
                <w:rFonts w:ascii="黑体"/>
                <w:sz w:val="19"/>
              </w:rPr>
            </w:pPr>
          </w:p>
          <w:p>
            <w:pPr>
              <w:pStyle w:val="11"/>
              <w:ind w:left="301"/>
              <w:rPr>
                <w:sz w:val="18"/>
              </w:rPr>
            </w:pPr>
            <w:r>
              <w:rPr>
                <w:sz w:val="18"/>
              </w:rPr>
              <w:t>1.1.2</w:t>
            </w:r>
            <w:r>
              <w:rPr>
                <w:spacing w:val="-3"/>
                <w:sz w:val="18"/>
              </w:rPr>
              <w:t xml:space="preserve"> 诚信文化</w:t>
            </w:r>
          </w:p>
        </w:tc>
        <w:tc>
          <w:tcPr>
            <w:tcW w:w="4803" w:type="dxa"/>
            <w:tcBorders>
              <w:top w:val="single" w:color="000000" w:sz="4" w:space="0"/>
              <w:left w:val="single" w:color="000000" w:sz="4" w:space="0"/>
              <w:bottom w:val="single" w:color="000000" w:sz="4" w:space="0"/>
            </w:tcBorders>
          </w:tcPr>
          <w:p>
            <w:pPr>
              <w:pStyle w:val="11"/>
              <w:spacing w:before="65"/>
              <w:ind w:left="107"/>
              <w:rPr>
                <w:sz w:val="18"/>
              </w:rPr>
            </w:pPr>
            <w:r>
              <w:rPr>
                <w:spacing w:val="-1"/>
                <w:sz w:val="18"/>
              </w:rPr>
              <w:t>是否将商务诚信作为企业文化重要组成部分；在管理和服</w:t>
            </w:r>
          </w:p>
          <w:p>
            <w:pPr>
              <w:pStyle w:val="11"/>
              <w:spacing w:before="127"/>
              <w:ind w:left="107"/>
              <w:rPr>
                <w:sz w:val="18"/>
              </w:rPr>
            </w:pPr>
            <w:r>
              <w:rPr>
                <w:spacing w:val="-1"/>
                <w:sz w:val="18"/>
              </w:rPr>
              <w:t>务中传递正确的价值观及弘扬优秀文化的情况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34" w:hRule="atLeast"/>
        </w:trPr>
        <w:tc>
          <w:tcPr>
            <w:tcW w:w="1261" w:type="dxa"/>
            <w:vMerge w:val="continue"/>
            <w:tcBorders>
              <w:top w:val="nil"/>
              <w:bottom w:val="single" w:color="000000" w:sz="4" w:space="0"/>
              <w:right w:val="single" w:color="000000" w:sz="4" w:space="0"/>
            </w:tcBorders>
          </w:tcPr>
          <w:p>
            <w:pPr>
              <w:rPr>
                <w:sz w:val="2"/>
                <w:szCs w:val="2"/>
              </w:rPr>
            </w:pPr>
          </w:p>
        </w:tc>
        <w:tc>
          <w:tcPr>
            <w:tcW w:w="1418" w:type="dxa"/>
            <w:vMerge w:val="restart"/>
            <w:tcBorders>
              <w:top w:val="single" w:color="000000" w:sz="4" w:space="0"/>
              <w:left w:val="single" w:color="000000" w:sz="4" w:space="0"/>
              <w:bottom w:val="single" w:color="000000" w:sz="4" w:space="0"/>
              <w:right w:val="single" w:color="000000" w:sz="4" w:space="0"/>
            </w:tcBorders>
          </w:tcPr>
          <w:p>
            <w:pPr>
              <w:pStyle w:val="11"/>
              <w:rPr>
                <w:rFonts w:ascii="黑体"/>
                <w:sz w:val="18"/>
              </w:rPr>
            </w:pPr>
          </w:p>
          <w:p>
            <w:pPr>
              <w:pStyle w:val="11"/>
              <w:rPr>
                <w:rFonts w:ascii="黑体"/>
                <w:sz w:val="18"/>
              </w:rPr>
            </w:pPr>
          </w:p>
          <w:p>
            <w:pPr>
              <w:pStyle w:val="11"/>
              <w:rPr>
                <w:rFonts w:ascii="黑体"/>
                <w:sz w:val="18"/>
              </w:rPr>
            </w:pPr>
          </w:p>
          <w:p>
            <w:pPr>
              <w:pStyle w:val="11"/>
              <w:spacing w:before="3"/>
              <w:rPr>
                <w:rFonts w:ascii="黑体"/>
                <w:sz w:val="21"/>
              </w:rPr>
            </w:pPr>
          </w:p>
          <w:p>
            <w:pPr>
              <w:pStyle w:val="11"/>
              <w:ind w:left="178"/>
              <w:rPr>
                <w:sz w:val="18"/>
              </w:rPr>
            </w:pPr>
            <w:r>
              <w:rPr>
                <w:sz w:val="18"/>
              </w:rPr>
              <w:t>1.2</w:t>
            </w:r>
            <w:r>
              <w:rPr>
                <w:spacing w:val="-3"/>
                <w:sz w:val="18"/>
              </w:rPr>
              <w:t xml:space="preserve"> 规章制度</w:t>
            </w:r>
          </w:p>
        </w:tc>
        <w:tc>
          <w:tcPr>
            <w:tcW w:w="1842" w:type="dxa"/>
            <w:tcBorders>
              <w:top w:val="single" w:color="000000" w:sz="4" w:space="0"/>
              <w:left w:val="single" w:color="000000" w:sz="4" w:space="0"/>
              <w:bottom w:val="single" w:color="000000" w:sz="4" w:space="0"/>
              <w:right w:val="single" w:color="000000" w:sz="4" w:space="0"/>
            </w:tcBorders>
          </w:tcPr>
          <w:p>
            <w:pPr>
              <w:pStyle w:val="11"/>
              <w:rPr>
                <w:rFonts w:ascii="黑体"/>
                <w:sz w:val="18"/>
              </w:rPr>
            </w:pPr>
          </w:p>
          <w:p>
            <w:pPr>
              <w:pStyle w:val="11"/>
              <w:rPr>
                <w:rFonts w:ascii="黑体"/>
                <w:sz w:val="18"/>
              </w:rPr>
            </w:pPr>
          </w:p>
          <w:p>
            <w:pPr>
              <w:pStyle w:val="11"/>
              <w:spacing w:before="140"/>
              <w:ind w:left="301"/>
              <w:rPr>
                <w:sz w:val="18"/>
              </w:rPr>
            </w:pPr>
            <w:r>
              <w:rPr>
                <w:sz w:val="18"/>
              </w:rPr>
              <w:t>1.2.1</w:t>
            </w:r>
            <w:r>
              <w:rPr>
                <w:spacing w:val="-3"/>
                <w:sz w:val="18"/>
              </w:rPr>
              <w:t xml:space="preserve"> 制度建设</w:t>
            </w:r>
          </w:p>
        </w:tc>
        <w:tc>
          <w:tcPr>
            <w:tcW w:w="4803" w:type="dxa"/>
            <w:tcBorders>
              <w:top w:val="single" w:color="000000" w:sz="4" w:space="0"/>
              <w:left w:val="single" w:color="000000" w:sz="4" w:space="0"/>
              <w:bottom w:val="single" w:color="000000" w:sz="4" w:space="0"/>
            </w:tcBorders>
          </w:tcPr>
          <w:p>
            <w:pPr>
              <w:pStyle w:val="11"/>
              <w:spacing w:before="64" w:line="374" w:lineRule="auto"/>
              <w:ind w:left="107" w:right="-15"/>
              <w:rPr>
                <w:sz w:val="18"/>
              </w:rPr>
            </w:pPr>
            <w:r>
              <w:rPr>
                <w:spacing w:val="-2"/>
                <w:sz w:val="18"/>
              </w:rPr>
              <w:t>会展组展企业财务管理、人力管理、安全管理、信用管理、环境管理、重大事项信息披露制度等规章制度编制与执行</w:t>
            </w:r>
            <w:r>
              <w:rPr>
                <w:spacing w:val="40"/>
                <w:sz w:val="18"/>
              </w:rPr>
              <w:t xml:space="preserve"> </w:t>
            </w:r>
            <w:r>
              <w:rPr>
                <w:spacing w:val="-2"/>
                <w:sz w:val="18"/>
              </w:rPr>
              <w:t>等情况；是否明确专门部门或岗位负责诚信管理、诚信教</w:t>
            </w:r>
          </w:p>
          <w:p>
            <w:pPr>
              <w:pStyle w:val="11"/>
              <w:spacing w:line="227" w:lineRule="exact"/>
              <w:ind w:left="107"/>
              <w:rPr>
                <w:sz w:val="18"/>
              </w:rPr>
            </w:pPr>
            <w:r>
              <w:rPr>
                <w:spacing w:val="-2"/>
                <w:sz w:val="18"/>
              </w:rPr>
              <w:t>育、诚信培训等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7" w:hRule="atLeast"/>
        </w:trPr>
        <w:tc>
          <w:tcPr>
            <w:tcW w:w="1261" w:type="dxa"/>
            <w:vMerge w:val="continue"/>
            <w:tcBorders>
              <w:top w:val="nil"/>
              <w:bottom w:val="single" w:color="000000" w:sz="4" w:space="0"/>
              <w:right w:val="single" w:color="000000" w:sz="4" w:space="0"/>
            </w:tcBorders>
          </w:tcPr>
          <w:p>
            <w:pPr>
              <w:rPr>
                <w:sz w:val="2"/>
                <w:szCs w:val="2"/>
              </w:rPr>
            </w:pPr>
          </w:p>
        </w:tc>
        <w:tc>
          <w:tcPr>
            <w:tcW w:w="1418" w:type="dxa"/>
            <w:vMerge w:val="continue"/>
            <w:tcBorders>
              <w:top w:val="nil"/>
              <w:left w:val="single" w:color="000000" w:sz="4" w:space="0"/>
              <w:bottom w:val="single" w:color="000000" w:sz="4" w:space="0"/>
              <w:right w:val="single" w:color="000000" w:sz="4" w:space="0"/>
            </w:tcBorders>
          </w:tcPr>
          <w:p>
            <w:pPr>
              <w:rPr>
                <w:sz w:val="2"/>
                <w:szCs w:val="2"/>
              </w:rPr>
            </w:pPr>
          </w:p>
        </w:tc>
        <w:tc>
          <w:tcPr>
            <w:tcW w:w="1842" w:type="dxa"/>
            <w:tcBorders>
              <w:top w:val="single" w:color="000000" w:sz="4" w:space="0"/>
              <w:left w:val="single" w:color="000000" w:sz="4" w:space="0"/>
              <w:bottom w:val="single" w:color="000000" w:sz="4" w:space="0"/>
              <w:right w:val="single" w:color="000000" w:sz="4" w:space="0"/>
            </w:tcBorders>
          </w:tcPr>
          <w:p>
            <w:pPr>
              <w:pStyle w:val="11"/>
              <w:rPr>
                <w:rFonts w:ascii="黑体"/>
                <w:sz w:val="19"/>
              </w:rPr>
            </w:pPr>
          </w:p>
          <w:p>
            <w:pPr>
              <w:pStyle w:val="11"/>
              <w:ind w:left="301"/>
              <w:rPr>
                <w:sz w:val="18"/>
              </w:rPr>
            </w:pPr>
            <w:r>
              <w:rPr>
                <w:sz w:val="18"/>
              </w:rPr>
              <w:t>1.2.2</w:t>
            </w:r>
            <w:r>
              <w:rPr>
                <w:spacing w:val="-3"/>
                <w:sz w:val="18"/>
              </w:rPr>
              <w:t xml:space="preserve"> 诚信档案</w:t>
            </w:r>
          </w:p>
        </w:tc>
        <w:tc>
          <w:tcPr>
            <w:tcW w:w="4803" w:type="dxa"/>
            <w:tcBorders>
              <w:top w:val="single" w:color="000000" w:sz="4" w:space="0"/>
              <w:left w:val="single" w:color="000000" w:sz="4" w:space="0"/>
              <w:bottom w:val="single" w:color="000000" w:sz="4" w:space="0"/>
            </w:tcBorders>
          </w:tcPr>
          <w:p>
            <w:pPr>
              <w:pStyle w:val="11"/>
              <w:spacing w:before="64"/>
              <w:ind w:left="107"/>
              <w:rPr>
                <w:sz w:val="18"/>
              </w:rPr>
            </w:pPr>
            <w:r>
              <w:rPr>
                <w:spacing w:val="-1"/>
                <w:sz w:val="18"/>
              </w:rPr>
              <w:t>是否建立员工诚信档案并及时更新信息记录；是否对诚信</w:t>
            </w:r>
          </w:p>
          <w:p>
            <w:pPr>
              <w:pStyle w:val="11"/>
              <w:spacing w:before="129"/>
              <w:ind w:left="107"/>
              <w:rPr>
                <w:sz w:val="18"/>
              </w:rPr>
            </w:pPr>
            <w:r>
              <w:rPr>
                <w:spacing w:val="-2"/>
                <w:sz w:val="18"/>
              </w:rPr>
              <w:t>档案进行披露</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7" w:hRule="atLeast"/>
        </w:trPr>
        <w:tc>
          <w:tcPr>
            <w:tcW w:w="1261" w:type="dxa"/>
            <w:vMerge w:val="continue"/>
            <w:tcBorders>
              <w:top w:val="nil"/>
              <w:bottom w:val="single" w:color="000000" w:sz="4" w:space="0"/>
              <w:right w:val="single" w:color="000000" w:sz="4" w:space="0"/>
            </w:tcBorders>
          </w:tcPr>
          <w:p>
            <w:pPr>
              <w:rPr>
                <w:sz w:val="2"/>
                <w:szCs w:val="2"/>
              </w:rPr>
            </w:pPr>
          </w:p>
        </w:tc>
        <w:tc>
          <w:tcPr>
            <w:tcW w:w="1418" w:type="dxa"/>
            <w:vMerge w:val="restart"/>
            <w:tcBorders>
              <w:top w:val="single" w:color="000000" w:sz="4" w:space="0"/>
              <w:left w:val="single" w:color="000000" w:sz="4" w:space="0"/>
              <w:bottom w:val="single" w:color="000000" w:sz="4" w:space="0"/>
              <w:right w:val="single" w:color="000000" w:sz="4" w:space="0"/>
            </w:tcBorders>
          </w:tcPr>
          <w:p>
            <w:pPr>
              <w:pStyle w:val="11"/>
              <w:rPr>
                <w:rFonts w:ascii="黑体"/>
                <w:sz w:val="18"/>
              </w:rPr>
            </w:pPr>
          </w:p>
          <w:p>
            <w:pPr>
              <w:pStyle w:val="11"/>
              <w:rPr>
                <w:rFonts w:ascii="黑体"/>
                <w:sz w:val="18"/>
              </w:rPr>
            </w:pPr>
          </w:p>
          <w:p>
            <w:pPr>
              <w:pStyle w:val="11"/>
              <w:spacing w:before="147"/>
              <w:ind w:left="178"/>
              <w:rPr>
                <w:sz w:val="18"/>
              </w:rPr>
            </w:pPr>
            <w:r>
              <w:rPr>
                <w:sz w:val="18"/>
              </w:rPr>
              <w:t>1.3</w:t>
            </w:r>
            <w:r>
              <w:rPr>
                <w:spacing w:val="-3"/>
                <w:sz w:val="18"/>
              </w:rPr>
              <w:t xml:space="preserve"> 品牌形象</w:t>
            </w:r>
          </w:p>
        </w:tc>
        <w:tc>
          <w:tcPr>
            <w:tcW w:w="1842" w:type="dxa"/>
            <w:tcBorders>
              <w:top w:val="single" w:color="000000" w:sz="4" w:space="0"/>
              <w:left w:val="single" w:color="000000" w:sz="4" w:space="0"/>
              <w:bottom w:val="single" w:color="000000" w:sz="4" w:space="0"/>
              <w:right w:val="single" w:color="000000" w:sz="4" w:space="0"/>
            </w:tcBorders>
          </w:tcPr>
          <w:p>
            <w:pPr>
              <w:pStyle w:val="11"/>
              <w:spacing w:before="12"/>
              <w:rPr>
                <w:rFonts w:ascii="黑体"/>
                <w:sz w:val="18"/>
              </w:rPr>
            </w:pPr>
          </w:p>
          <w:p>
            <w:pPr>
              <w:pStyle w:val="11"/>
              <w:ind w:left="301"/>
              <w:rPr>
                <w:sz w:val="18"/>
              </w:rPr>
            </w:pPr>
            <w:r>
              <w:rPr>
                <w:sz w:val="18"/>
              </w:rPr>
              <w:t>1.3.1</w:t>
            </w:r>
            <w:r>
              <w:rPr>
                <w:spacing w:val="-3"/>
                <w:sz w:val="18"/>
              </w:rPr>
              <w:t xml:space="preserve"> 信用承诺</w:t>
            </w:r>
          </w:p>
        </w:tc>
        <w:tc>
          <w:tcPr>
            <w:tcW w:w="4803" w:type="dxa"/>
            <w:tcBorders>
              <w:top w:val="single" w:color="000000" w:sz="4" w:space="0"/>
              <w:left w:val="single" w:color="000000" w:sz="4" w:space="0"/>
              <w:bottom w:val="single" w:color="000000" w:sz="4" w:space="0"/>
            </w:tcBorders>
          </w:tcPr>
          <w:p>
            <w:pPr>
              <w:pStyle w:val="11"/>
              <w:spacing w:before="63"/>
              <w:ind w:left="107"/>
              <w:rPr>
                <w:sz w:val="18"/>
              </w:rPr>
            </w:pPr>
            <w:r>
              <w:rPr>
                <w:spacing w:val="-1"/>
                <w:sz w:val="18"/>
              </w:rPr>
              <w:t>会展组展企业主动公开承诺、主动接受政府及社会监督、</w:t>
            </w:r>
          </w:p>
          <w:p>
            <w:pPr>
              <w:pStyle w:val="11"/>
              <w:spacing w:before="127"/>
              <w:ind w:left="107"/>
              <w:rPr>
                <w:sz w:val="18"/>
              </w:rPr>
            </w:pPr>
            <w:r>
              <w:rPr>
                <w:spacing w:val="-1"/>
                <w:sz w:val="18"/>
              </w:rPr>
              <w:t>主动协助政府采信及参与诚信创建活动等情况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7" w:hRule="atLeast"/>
        </w:trPr>
        <w:tc>
          <w:tcPr>
            <w:tcW w:w="1261" w:type="dxa"/>
            <w:vMerge w:val="continue"/>
            <w:tcBorders>
              <w:top w:val="nil"/>
              <w:bottom w:val="single" w:color="000000" w:sz="4" w:space="0"/>
              <w:right w:val="single" w:color="000000" w:sz="4" w:space="0"/>
            </w:tcBorders>
          </w:tcPr>
          <w:p>
            <w:pPr>
              <w:rPr>
                <w:sz w:val="2"/>
                <w:szCs w:val="2"/>
              </w:rPr>
            </w:pPr>
          </w:p>
        </w:tc>
        <w:tc>
          <w:tcPr>
            <w:tcW w:w="1418" w:type="dxa"/>
            <w:vMerge w:val="continue"/>
            <w:tcBorders>
              <w:top w:val="nil"/>
              <w:left w:val="single" w:color="000000" w:sz="4" w:space="0"/>
              <w:bottom w:val="single" w:color="000000" w:sz="4" w:space="0"/>
              <w:right w:val="single" w:color="000000" w:sz="4" w:space="0"/>
            </w:tcBorders>
          </w:tcPr>
          <w:p>
            <w:pPr>
              <w:rPr>
                <w:sz w:val="2"/>
                <w:szCs w:val="2"/>
              </w:rPr>
            </w:pPr>
          </w:p>
        </w:tc>
        <w:tc>
          <w:tcPr>
            <w:tcW w:w="1842" w:type="dxa"/>
            <w:tcBorders>
              <w:top w:val="single" w:color="000000" w:sz="4" w:space="0"/>
              <w:left w:val="single" w:color="000000" w:sz="4" w:space="0"/>
              <w:bottom w:val="single" w:color="000000" w:sz="4" w:space="0"/>
              <w:right w:val="single" w:color="000000" w:sz="4" w:space="0"/>
            </w:tcBorders>
          </w:tcPr>
          <w:p>
            <w:pPr>
              <w:pStyle w:val="11"/>
              <w:rPr>
                <w:rFonts w:ascii="黑体"/>
                <w:sz w:val="19"/>
              </w:rPr>
            </w:pPr>
          </w:p>
          <w:p>
            <w:pPr>
              <w:pStyle w:val="11"/>
              <w:ind w:left="301"/>
              <w:rPr>
                <w:sz w:val="18"/>
              </w:rPr>
            </w:pPr>
            <w:r>
              <w:rPr>
                <w:sz w:val="18"/>
              </w:rPr>
              <w:t>1.3.2</w:t>
            </w:r>
            <w:r>
              <w:rPr>
                <w:spacing w:val="-3"/>
                <w:sz w:val="18"/>
              </w:rPr>
              <w:t xml:space="preserve"> 品牌建设</w:t>
            </w:r>
          </w:p>
        </w:tc>
        <w:tc>
          <w:tcPr>
            <w:tcW w:w="4803" w:type="dxa"/>
            <w:tcBorders>
              <w:top w:val="single" w:color="000000" w:sz="4" w:space="0"/>
              <w:left w:val="single" w:color="000000" w:sz="4" w:space="0"/>
              <w:bottom w:val="single" w:color="000000" w:sz="4" w:space="0"/>
            </w:tcBorders>
          </w:tcPr>
          <w:p>
            <w:pPr>
              <w:pStyle w:val="11"/>
              <w:spacing w:before="66"/>
              <w:ind w:left="107"/>
              <w:rPr>
                <w:sz w:val="18"/>
              </w:rPr>
            </w:pPr>
            <w:r>
              <w:rPr>
                <w:spacing w:val="-1"/>
                <w:sz w:val="18"/>
              </w:rPr>
              <w:t>会展品牌的规划、培育、建设情况，包括对自身和参展商</w:t>
            </w:r>
          </w:p>
          <w:p>
            <w:pPr>
              <w:pStyle w:val="11"/>
              <w:spacing w:before="127"/>
              <w:ind w:left="107"/>
              <w:rPr>
                <w:sz w:val="18"/>
              </w:rPr>
            </w:pPr>
            <w:r>
              <w:rPr>
                <w:spacing w:val="-2"/>
                <w:sz w:val="18"/>
              </w:rPr>
              <w:t>品牌信誉度的维护</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66" w:hRule="atLeast"/>
        </w:trPr>
        <w:tc>
          <w:tcPr>
            <w:tcW w:w="1261" w:type="dxa"/>
            <w:vMerge w:val="restart"/>
            <w:tcBorders>
              <w:top w:val="single" w:color="000000" w:sz="4" w:space="0"/>
              <w:right w:val="single" w:color="000000" w:sz="4" w:space="0"/>
            </w:tcBorders>
          </w:tcPr>
          <w:p>
            <w:pPr>
              <w:pStyle w:val="11"/>
              <w:rPr>
                <w:rFonts w:ascii="黑体"/>
                <w:sz w:val="18"/>
              </w:rPr>
            </w:pPr>
          </w:p>
          <w:p>
            <w:pPr>
              <w:pStyle w:val="11"/>
              <w:rPr>
                <w:rFonts w:ascii="黑体"/>
                <w:sz w:val="18"/>
              </w:rPr>
            </w:pPr>
          </w:p>
          <w:p>
            <w:pPr>
              <w:pStyle w:val="11"/>
              <w:rPr>
                <w:rFonts w:ascii="黑体"/>
                <w:sz w:val="18"/>
              </w:rPr>
            </w:pPr>
          </w:p>
          <w:p>
            <w:pPr>
              <w:pStyle w:val="11"/>
              <w:rPr>
                <w:rFonts w:ascii="黑体"/>
                <w:sz w:val="18"/>
              </w:rPr>
            </w:pPr>
          </w:p>
          <w:p>
            <w:pPr>
              <w:pStyle w:val="11"/>
              <w:rPr>
                <w:rFonts w:ascii="黑体"/>
                <w:sz w:val="18"/>
              </w:rPr>
            </w:pPr>
          </w:p>
          <w:p>
            <w:pPr>
              <w:pStyle w:val="11"/>
              <w:rPr>
                <w:rFonts w:ascii="黑体"/>
                <w:sz w:val="18"/>
              </w:rPr>
            </w:pPr>
          </w:p>
          <w:p>
            <w:pPr>
              <w:pStyle w:val="11"/>
              <w:rPr>
                <w:rFonts w:ascii="黑体"/>
                <w:sz w:val="18"/>
              </w:rPr>
            </w:pPr>
          </w:p>
          <w:p>
            <w:pPr>
              <w:pStyle w:val="11"/>
              <w:rPr>
                <w:rFonts w:ascii="黑体"/>
                <w:sz w:val="18"/>
              </w:rPr>
            </w:pPr>
          </w:p>
          <w:p>
            <w:pPr>
              <w:pStyle w:val="11"/>
              <w:spacing w:before="9"/>
              <w:rPr>
                <w:rFonts w:ascii="黑体"/>
                <w:sz w:val="19"/>
              </w:rPr>
            </w:pPr>
          </w:p>
          <w:p>
            <w:pPr>
              <w:pStyle w:val="11"/>
              <w:ind w:left="179"/>
              <w:rPr>
                <w:sz w:val="18"/>
              </w:rPr>
            </w:pPr>
            <w:r>
              <w:rPr>
                <w:sz w:val="18"/>
              </w:rPr>
              <w:t>2</w:t>
            </w:r>
            <w:r>
              <w:rPr>
                <w:spacing w:val="-2"/>
                <w:sz w:val="18"/>
              </w:rPr>
              <w:t xml:space="preserve"> 诚信能力</w:t>
            </w:r>
          </w:p>
        </w:tc>
        <w:tc>
          <w:tcPr>
            <w:tcW w:w="1418" w:type="dxa"/>
            <w:vMerge w:val="restart"/>
            <w:tcBorders>
              <w:top w:val="single" w:color="000000" w:sz="4" w:space="0"/>
              <w:left w:val="single" w:color="000000" w:sz="4" w:space="0"/>
              <w:bottom w:val="single" w:color="000000" w:sz="4" w:space="0"/>
              <w:right w:val="single" w:color="000000" w:sz="4" w:space="0"/>
            </w:tcBorders>
          </w:tcPr>
          <w:p>
            <w:pPr>
              <w:pStyle w:val="11"/>
              <w:rPr>
                <w:rFonts w:ascii="黑体"/>
                <w:sz w:val="18"/>
              </w:rPr>
            </w:pPr>
          </w:p>
          <w:p>
            <w:pPr>
              <w:pStyle w:val="11"/>
              <w:rPr>
                <w:rFonts w:ascii="黑体"/>
                <w:sz w:val="18"/>
              </w:rPr>
            </w:pPr>
          </w:p>
          <w:p>
            <w:pPr>
              <w:pStyle w:val="11"/>
              <w:rPr>
                <w:rFonts w:ascii="黑体"/>
                <w:sz w:val="18"/>
              </w:rPr>
            </w:pPr>
          </w:p>
          <w:p>
            <w:pPr>
              <w:pStyle w:val="11"/>
              <w:rPr>
                <w:rFonts w:ascii="黑体"/>
                <w:sz w:val="18"/>
              </w:rPr>
            </w:pPr>
          </w:p>
          <w:p>
            <w:pPr>
              <w:pStyle w:val="11"/>
              <w:rPr>
                <w:rFonts w:ascii="黑体"/>
                <w:sz w:val="18"/>
              </w:rPr>
            </w:pPr>
          </w:p>
          <w:p>
            <w:pPr>
              <w:pStyle w:val="11"/>
              <w:rPr>
                <w:rFonts w:ascii="黑体"/>
                <w:sz w:val="18"/>
              </w:rPr>
            </w:pPr>
          </w:p>
          <w:p>
            <w:pPr>
              <w:pStyle w:val="11"/>
              <w:spacing w:before="160"/>
              <w:ind w:left="178"/>
              <w:rPr>
                <w:sz w:val="18"/>
              </w:rPr>
            </w:pPr>
            <w:r>
              <w:rPr>
                <w:sz w:val="18"/>
              </w:rPr>
              <w:t>2.1</w:t>
            </w:r>
            <w:r>
              <w:rPr>
                <w:spacing w:val="-3"/>
                <w:sz w:val="18"/>
              </w:rPr>
              <w:t xml:space="preserve"> 财务能力</w:t>
            </w:r>
          </w:p>
        </w:tc>
        <w:tc>
          <w:tcPr>
            <w:tcW w:w="1842" w:type="dxa"/>
            <w:tcBorders>
              <w:top w:val="single" w:color="000000" w:sz="4" w:space="0"/>
              <w:left w:val="single" w:color="000000" w:sz="4" w:space="0"/>
              <w:bottom w:val="single" w:color="000000" w:sz="4" w:space="0"/>
              <w:right w:val="single" w:color="000000" w:sz="4" w:space="0"/>
            </w:tcBorders>
          </w:tcPr>
          <w:p>
            <w:pPr>
              <w:pStyle w:val="11"/>
              <w:rPr>
                <w:rFonts w:ascii="黑体"/>
                <w:sz w:val="18"/>
              </w:rPr>
            </w:pPr>
          </w:p>
          <w:p>
            <w:pPr>
              <w:pStyle w:val="11"/>
              <w:spacing w:before="12"/>
              <w:rPr>
                <w:rFonts w:ascii="黑体"/>
                <w:sz w:val="14"/>
              </w:rPr>
            </w:pPr>
          </w:p>
          <w:p>
            <w:pPr>
              <w:pStyle w:val="11"/>
              <w:ind w:left="301"/>
              <w:rPr>
                <w:sz w:val="18"/>
              </w:rPr>
            </w:pPr>
            <w:r>
              <w:rPr>
                <w:sz w:val="18"/>
              </w:rPr>
              <w:t>2.1.1</w:t>
            </w:r>
            <w:r>
              <w:rPr>
                <w:spacing w:val="-3"/>
                <w:sz w:val="18"/>
              </w:rPr>
              <w:t xml:space="preserve"> 偿债能力</w:t>
            </w:r>
          </w:p>
        </w:tc>
        <w:tc>
          <w:tcPr>
            <w:tcW w:w="4803" w:type="dxa"/>
            <w:tcBorders>
              <w:top w:val="single" w:color="000000" w:sz="4" w:space="0"/>
              <w:left w:val="single" w:color="000000" w:sz="4" w:space="0"/>
              <w:bottom w:val="single" w:color="000000" w:sz="4" w:space="0"/>
            </w:tcBorders>
          </w:tcPr>
          <w:p>
            <w:pPr>
              <w:pStyle w:val="11"/>
              <w:spacing w:before="65"/>
              <w:ind w:left="107"/>
              <w:rPr>
                <w:sz w:val="18"/>
              </w:rPr>
            </w:pPr>
            <w:r>
              <w:rPr>
                <w:spacing w:val="-1"/>
                <w:sz w:val="18"/>
              </w:rPr>
              <w:t>会展组展企业用其资产偿还长期债务与短期债务的能力。</w:t>
            </w:r>
          </w:p>
          <w:p>
            <w:pPr>
              <w:pStyle w:val="11"/>
              <w:spacing w:before="7" w:line="350" w:lineRule="atLeast"/>
              <w:ind w:left="107" w:right="163"/>
              <w:rPr>
                <w:sz w:val="18"/>
              </w:rPr>
            </w:pPr>
            <w:r>
              <w:rPr>
                <w:spacing w:val="-2"/>
                <w:sz w:val="18"/>
              </w:rPr>
              <w:t>短期偿债包括流动比率、速动比率和现金比率，长期偿债包括资产负债率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7" w:hRule="atLeast"/>
        </w:trPr>
        <w:tc>
          <w:tcPr>
            <w:tcW w:w="1261" w:type="dxa"/>
            <w:vMerge w:val="continue"/>
            <w:tcBorders>
              <w:top w:val="nil"/>
              <w:right w:val="single" w:color="000000" w:sz="4" w:space="0"/>
            </w:tcBorders>
          </w:tcPr>
          <w:p>
            <w:pPr>
              <w:rPr>
                <w:sz w:val="2"/>
                <w:szCs w:val="2"/>
              </w:rPr>
            </w:pPr>
          </w:p>
        </w:tc>
        <w:tc>
          <w:tcPr>
            <w:tcW w:w="1418" w:type="dxa"/>
            <w:vMerge w:val="continue"/>
            <w:tcBorders>
              <w:top w:val="nil"/>
              <w:left w:val="single" w:color="000000" w:sz="4" w:space="0"/>
              <w:bottom w:val="single" w:color="000000" w:sz="4" w:space="0"/>
              <w:right w:val="single" w:color="000000" w:sz="4" w:space="0"/>
            </w:tcBorders>
          </w:tcPr>
          <w:p>
            <w:pPr>
              <w:rPr>
                <w:sz w:val="2"/>
                <w:szCs w:val="2"/>
              </w:rPr>
            </w:pPr>
          </w:p>
        </w:tc>
        <w:tc>
          <w:tcPr>
            <w:tcW w:w="1842" w:type="dxa"/>
            <w:tcBorders>
              <w:top w:val="single" w:color="000000" w:sz="4" w:space="0"/>
              <w:left w:val="single" w:color="000000" w:sz="4" w:space="0"/>
              <w:bottom w:val="single" w:color="000000" w:sz="4" w:space="0"/>
              <w:right w:val="single" w:color="000000" w:sz="4" w:space="0"/>
            </w:tcBorders>
          </w:tcPr>
          <w:p>
            <w:pPr>
              <w:pStyle w:val="11"/>
              <w:spacing w:before="9"/>
              <w:rPr>
                <w:rFonts w:ascii="黑体"/>
                <w:sz w:val="19"/>
              </w:rPr>
            </w:pPr>
          </w:p>
          <w:p>
            <w:pPr>
              <w:pStyle w:val="11"/>
              <w:ind w:left="301"/>
              <w:rPr>
                <w:sz w:val="18"/>
              </w:rPr>
            </w:pPr>
            <w:r>
              <w:rPr>
                <w:sz w:val="18"/>
              </w:rPr>
              <w:t>2.1.2</w:t>
            </w:r>
            <w:r>
              <w:rPr>
                <w:spacing w:val="-3"/>
                <w:sz w:val="18"/>
              </w:rPr>
              <w:t xml:space="preserve"> 盈利能力</w:t>
            </w:r>
          </w:p>
        </w:tc>
        <w:tc>
          <w:tcPr>
            <w:tcW w:w="4803" w:type="dxa"/>
            <w:tcBorders>
              <w:top w:val="single" w:color="000000" w:sz="4" w:space="0"/>
              <w:left w:val="single" w:color="000000" w:sz="4" w:space="0"/>
              <w:bottom w:val="single" w:color="000000" w:sz="4" w:space="0"/>
            </w:tcBorders>
          </w:tcPr>
          <w:p>
            <w:pPr>
              <w:pStyle w:val="11"/>
              <w:spacing w:before="75"/>
              <w:ind w:left="107"/>
              <w:rPr>
                <w:sz w:val="18"/>
              </w:rPr>
            </w:pPr>
            <w:r>
              <w:rPr>
                <w:spacing w:val="-1"/>
                <w:sz w:val="18"/>
              </w:rPr>
              <w:t>会展组展企业资本增值能力，包括净资产收益率、总资产</w:t>
            </w:r>
          </w:p>
          <w:p>
            <w:pPr>
              <w:pStyle w:val="11"/>
              <w:spacing w:before="127"/>
              <w:ind w:left="107"/>
              <w:rPr>
                <w:sz w:val="18"/>
              </w:rPr>
            </w:pPr>
            <w:r>
              <w:rPr>
                <w:spacing w:val="-3"/>
                <w:sz w:val="18"/>
              </w:rPr>
              <w:t>报酬率等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7" w:hRule="atLeast"/>
        </w:trPr>
        <w:tc>
          <w:tcPr>
            <w:tcW w:w="1261" w:type="dxa"/>
            <w:vMerge w:val="continue"/>
            <w:tcBorders>
              <w:top w:val="nil"/>
              <w:right w:val="single" w:color="000000" w:sz="4" w:space="0"/>
            </w:tcBorders>
          </w:tcPr>
          <w:p>
            <w:pPr>
              <w:rPr>
                <w:sz w:val="2"/>
                <w:szCs w:val="2"/>
              </w:rPr>
            </w:pPr>
          </w:p>
        </w:tc>
        <w:tc>
          <w:tcPr>
            <w:tcW w:w="1418" w:type="dxa"/>
            <w:vMerge w:val="continue"/>
            <w:tcBorders>
              <w:top w:val="nil"/>
              <w:left w:val="single" w:color="000000" w:sz="4" w:space="0"/>
              <w:bottom w:val="single" w:color="000000" w:sz="4" w:space="0"/>
              <w:right w:val="single" w:color="000000" w:sz="4" w:space="0"/>
            </w:tcBorders>
          </w:tcPr>
          <w:p>
            <w:pPr>
              <w:rPr>
                <w:sz w:val="2"/>
                <w:szCs w:val="2"/>
              </w:rPr>
            </w:pPr>
          </w:p>
        </w:tc>
        <w:tc>
          <w:tcPr>
            <w:tcW w:w="1842" w:type="dxa"/>
            <w:tcBorders>
              <w:top w:val="single" w:color="000000" w:sz="4" w:space="0"/>
              <w:left w:val="single" w:color="000000" w:sz="4" w:space="0"/>
              <w:bottom w:val="single" w:color="000000" w:sz="4" w:space="0"/>
              <w:right w:val="single" w:color="000000" w:sz="4" w:space="0"/>
            </w:tcBorders>
          </w:tcPr>
          <w:p>
            <w:pPr>
              <w:pStyle w:val="11"/>
              <w:spacing w:before="10"/>
              <w:rPr>
                <w:rFonts w:ascii="黑体"/>
                <w:sz w:val="19"/>
              </w:rPr>
            </w:pPr>
          </w:p>
          <w:p>
            <w:pPr>
              <w:pStyle w:val="11"/>
              <w:ind w:left="301"/>
              <w:rPr>
                <w:sz w:val="18"/>
              </w:rPr>
            </w:pPr>
            <w:r>
              <w:rPr>
                <w:sz w:val="18"/>
              </w:rPr>
              <w:t>2.1.3</w:t>
            </w:r>
            <w:r>
              <w:rPr>
                <w:spacing w:val="-3"/>
                <w:sz w:val="18"/>
              </w:rPr>
              <w:t xml:space="preserve"> 营运能力</w:t>
            </w:r>
          </w:p>
        </w:tc>
        <w:tc>
          <w:tcPr>
            <w:tcW w:w="4803" w:type="dxa"/>
            <w:tcBorders>
              <w:top w:val="single" w:color="000000" w:sz="4" w:space="0"/>
              <w:left w:val="single" w:color="000000" w:sz="4" w:space="0"/>
              <w:bottom w:val="single" w:color="000000" w:sz="4" w:space="0"/>
            </w:tcBorders>
          </w:tcPr>
          <w:p>
            <w:pPr>
              <w:pStyle w:val="11"/>
              <w:spacing w:before="74"/>
              <w:ind w:left="107"/>
              <w:rPr>
                <w:sz w:val="18"/>
              </w:rPr>
            </w:pPr>
            <w:r>
              <w:rPr>
                <w:spacing w:val="-1"/>
                <w:sz w:val="18"/>
              </w:rPr>
              <w:t>会展组展企业运用各项资产以赚取利润的能力，包括应收</w:t>
            </w:r>
          </w:p>
          <w:p>
            <w:pPr>
              <w:pStyle w:val="11"/>
              <w:spacing w:before="127"/>
              <w:ind w:left="107"/>
              <w:rPr>
                <w:sz w:val="18"/>
              </w:rPr>
            </w:pPr>
            <w:r>
              <w:rPr>
                <w:sz w:val="18"/>
              </w:rPr>
              <w:t>账款周转率（次</w:t>
            </w:r>
            <w:r>
              <w:rPr>
                <w:spacing w:val="-92"/>
                <w:sz w:val="18"/>
              </w:rPr>
              <w:t>）</w:t>
            </w:r>
            <w:r>
              <w:rPr>
                <w:sz w:val="18"/>
              </w:rPr>
              <w:t>、总资产周转率（次）</w:t>
            </w:r>
            <w:r>
              <w:rPr>
                <w:spacing w:val="-10"/>
                <w:sz w:val="18"/>
              </w:rPr>
              <w:t>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7" w:hRule="atLeast"/>
        </w:trPr>
        <w:tc>
          <w:tcPr>
            <w:tcW w:w="1261" w:type="dxa"/>
            <w:vMerge w:val="continue"/>
            <w:tcBorders>
              <w:top w:val="nil"/>
              <w:right w:val="single" w:color="000000" w:sz="4" w:space="0"/>
            </w:tcBorders>
          </w:tcPr>
          <w:p>
            <w:pPr>
              <w:rPr>
                <w:sz w:val="2"/>
                <w:szCs w:val="2"/>
              </w:rPr>
            </w:pPr>
          </w:p>
        </w:tc>
        <w:tc>
          <w:tcPr>
            <w:tcW w:w="1418" w:type="dxa"/>
            <w:vMerge w:val="continue"/>
            <w:tcBorders>
              <w:top w:val="nil"/>
              <w:left w:val="single" w:color="000000" w:sz="4" w:space="0"/>
              <w:bottom w:val="single" w:color="000000" w:sz="4" w:space="0"/>
              <w:right w:val="single" w:color="000000" w:sz="4" w:space="0"/>
            </w:tcBorders>
          </w:tcPr>
          <w:p>
            <w:pPr>
              <w:rPr>
                <w:sz w:val="2"/>
                <w:szCs w:val="2"/>
              </w:rPr>
            </w:pPr>
          </w:p>
        </w:tc>
        <w:tc>
          <w:tcPr>
            <w:tcW w:w="1842" w:type="dxa"/>
            <w:tcBorders>
              <w:top w:val="single" w:color="000000" w:sz="4" w:space="0"/>
              <w:left w:val="single" w:color="000000" w:sz="4" w:space="0"/>
              <w:bottom w:val="single" w:color="000000" w:sz="4" w:space="0"/>
              <w:right w:val="single" w:color="000000" w:sz="4" w:space="0"/>
            </w:tcBorders>
          </w:tcPr>
          <w:p>
            <w:pPr>
              <w:pStyle w:val="11"/>
              <w:spacing w:before="8"/>
              <w:rPr>
                <w:rFonts w:ascii="黑体"/>
                <w:sz w:val="19"/>
              </w:rPr>
            </w:pPr>
          </w:p>
          <w:p>
            <w:pPr>
              <w:pStyle w:val="11"/>
              <w:spacing w:before="1"/>
              <w:ind w:left="301"/>
              <w:rPr>
                <w:sz w:val="18"/>
              </w:rPr>
            </w:pPr>
            <w:r>
              <w:rPr>
                <w:sz w:val="18"/>
              </w:rPr>
              <w:t>2.1.4</w:t>
            </w:r>
            <w:r>
              <w:rPr>
                <w:spacing w:val="-3"/>
                <w:sz w:val="18"/>
              </w:rPr>
              <w:t xml:space="preserve"> 发展能力</w:t>
            </w:r>
          </w:p>
        </w:tc>
        <w:tc>
          <w:tcPr>
            <w:tcW w:w="4803" w:type="dxa"/>
            <w:tcBorders>
              <w:top w:val="single" w:color="000000" w:sz="4" w:space="0"/>
              <w:left w:val="single" w:color="000000" w:sz="4" w:space="0"/>
              <w:bottom w:val="single" w:color="000000" w:sz="4" w:space="0"/>
            </w:tcBorders>
          </w:tcPr>
          <w:p>
            <w:pPr>
              <w:pStyle w:val="11"/>
              <w:spacing w:before="75"/>
              <w:ind w:left="107"/>
              <w:rPr>
                <w:sz w:val="18"/>
              </w:rPr>
            </w:pPr>
            <w:r>
              <w:rPr>
                <w:spacing w:val="-1"/>
                <w:sz w:val="18"/>
              </w:rPr>
              <w:t>会展组展企业发展壮大潜在能力，包括资本保值增值率、</w:t>
            </w:r>
          </w:p>
          <w:p>
            <w:pPr>
              <w:pStyle w:val="11"/>
              <w:spacing w:before="126"/>
              <w:ind w:left="107"/>
              <w:rPr>
                <w:sz w:val="18"/>
              </w:rPr>
            </w:pPr>
            <w:r>
              <w:rPr>
                <w:spacing w:val="-1"/>
                <w:sz w:val="18"/>
              </w:rPr>
              <w:t>会展业务收入增长率、业务增长率等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86" w:hRule="atLeast"/>
        </w:trPr>
        <w:tc>
          <w:tcPr>
            <w:tcW w:w="1261" w:type="dxa"/>
            <w:vMerge w:val="continue"/>
            <w:tcBorders>
              <w:top w:val="nil"/>
              <w:right w:val="single" w:color="000000" w:sz="4" w:space="0"/>
            </w:tcBorders>
          </w:tcPr>
          <w:p>
            <w:pPr>
              <w:rPr>
                <w:sz w:val="2"/>
                <w:szCs w:val="2"/>
              </w:rPr>
            </w:pPr>
          </w:p>
        </w:tc>
        <w:tc>
          <w:tcPr>
            <w:tcW w:w="1418" w:type="dxa"/>
            <w:tcBorders>
              <w:top w:val="single" w:color="000000" w:sz="4" w:space="0"/>
              <w:left w:val="single" w:color="000000" w:sz="4" w:space="0"/>
              <w:right w:val="single" w:color="000000" w:sz="4" w:space="0"/>
            </w:tcBorders>
          </w:tcPr>
          <w:p>
            <w:pPr>
              <w:pStyle w:val="11"/>
              <w:rPr>
                <w:rFonts w:ascii="黑体"/>
                <w:sz w:val="18"/>
              </w:rPr>
            </w:pPr>
          </w:p>
          <w:p>
            <w:pPr>
              <w:pStyle w:val="11"/>
              <w:spacing w:before="11"/>
              <w:rPr>
                <w:rFonts w:ascii="黑体"/>
                <w:sz w:val="15"/>
              </w:rPr>
            </w:pPr>
          </w:p>
          <w:p>
            <w:pPr>
              <w:pStyle w:val="11"/>
              <w:ind w:left="178"/>
              <w:rPr>
                <w:sz w:val="18"/>
              </w:rPr>
            </w:pPr>
            <w:r>
              <w:rPr>
                <w:sz w:val="18"/>
              </w:rPr>
              <w:t>2.2</w:t>
            </w:r>
            <w:r>
              <w:rPr>
                <w:spacing w:val="-3"/>
                <w:sz w:val="18"/>
              </w:rPr>
              <w:t xml:space="preserve"> 保障能力</w:t>
            </w:r>
          </w:p>
        </w:tc>
        <w:tc>
          <w:tcPr>
            <w:tcW w:w="1842" w:type="dxa"/>
            <w:tcBorders>
              <w:top w:val="single" w:color="000000" w:sz="4" w:space="0"/>
              <w:left w:val="single" w:color="000000" w:sz="4" w:space="0"/>
              <w:right w:val="single" w:color="000000" w:sz="4" w:space="0"/>
            </w:tcBorders>
          </w:tcPr>
          <w:p>
            <w:pPr>
              <w:pStyle w:val="11"/>
              <w:rPr>
                <w:rFonts w:ascii="黑体"/>
                <w:sz w:val="18"/>
              </w:rPr>
            </w:pPr>
          </w:p>
          <w:p>
            <w:pPr>
              <w:pStyle w:val="11"/>
              <w:spacing w:before="11"/>
              <w:rPr>
                <w:rFonts w:ascii="黑体"/>
                <w:sz w:val="15"/>
              </w:rPr>
            </w:pPr>
          </w:p>
          <w:p>
            <w:pPr>
              <w:pStyle w:val="11"/>
              <w:ind w:left="301"/>
              <w:rPr>
                <w:sz w:val="18"/>
              </w:rPr>
            </w:pPr>
            <w:r>
              <w:rPr>
                <w:sz w:val="18"/>
              </w:rPr>
              <w:t>2.2.1</w:t>
            </w:r>
            <w:r>
              <w:rPr>
                <w:spacing w:val="-3"/>
                <w:sz w:val="18"/>
              </w:rPr>
              <w:t xml:space="preserve"> 人力保障</w:t>
            </w:r>
          </w:p>
        </w:tc>
        <w:tc>
          <w:tcPr>
            <w:tcW w:w="4803" w:type="dxa"/>
            <w:tcBorders>
              <w:top w:val="single" w:color="000000" w:sz="4" w:space="0"/>
              <w:left w:val="single" w:color="000000" w:sz="4" w:space="0"/>
            </w:tcBorders>
          </w:tcPr>
          <w:p>
            <w:pPr>
              <w:pStyle w:val="11"/>
              <w:spacing w:before="74"/>
              <w:ind w:left="107"/>
              <w:rPr>
                <w:sz w:val="18"/>
              </w:rPr>
            </w:pPr>
            <w:r>
              <w:rPr>
                <w:spacing w:val="-1"/>
                <w:sz w:val="18"/>
              </w:rPr>
              <w:t>会展从业人员和服务志愿者的数量、结构及素养是否能满</w:t>
            </w:r>
          </w:p>
          <w:p>
            <w:pPr>
              <w:pStyle w:val="11"/>
              <w:spacing w:before="10" w:line="350" w:lineRule="atLeast"/>
              <w:ind w:left="107" w:right="163"/>
              <w:rPr>
                <w:sz w:val="18"/>
              </w:rPr>
            </w:pPr>
            <w:r>
              <w:rPr>
                <w:spacing w:val="-2"/>
                <w:sz w:val="18"/>
              </w:rPr>
              <w:t>足日常运营及重大会展项目需要，包括人员的学历、从业经验、专业技能、服务水平等</w:t>
            </w:r>
          </w:p>
        </w:tc>
      </w:tr>
    </w:tbl>
    <w:p>
      <w:pPr>
        <w:pStyle w:val="3"/>
        <w:rPr>
          <w:rFonts w:ascii="黑体"/>
          <w:sz w:val="20"/>
        </w:rPr>
      </w:pPr>
    </w:p>
    <w:p>
      <w:pPr>
        <w:pStyle w:val="3"/>
        <w:rPr>
          <w:rFonts w:ascii="黑体"/>
          <w:sz w:val="20"/>
        </w:rPr>
      </w:pPr>
    </w:p>
    <w:p>
      <w:pPr>
        <w:pStyle w:val="3"/>
        <w:rPr>
          <w:rFonts w:ascii="黑体"/>
          <w:sz w:val="20"/>
        </w:rPr>
      </w:pPr>
    </w:p>
    <w:p>
      <w:pPr>
        <w:pStyle w:val="3"/>
        <w:spacing w:before="1"/>
        <w:rPr>
          <w:rFonts w:ascii="黑体"/>
          <w:sz w:val="10"/>
        </w:rPr>
      </w:pPr>
      <w:r>
        <w:pict>
          <v:shape id="docshape17" o:spid="_x0000_s1040" o:spt="202" type="#_x0000_t202" style="position:absolute;left:0pt;margin-left:522.7pt;margin-top:7.65pt;height:9pt;width:5.5pt;mso-position-horizontal-relative:page;mso-wrap-distance-bottom:0pt;mso-wrap-distance-top:0pt;z-index:-251646976;mso-width-relative:page;mso-height-relative:page;" filled="f" stroked="f" coordsize="21600,21600">
            <v:path/>
            <v:fill on="f" focussize="0,0"/>
            <v:stroke on="f" joinstyle="miter"/>
            <v:imagedata o:title=""/>
            <o:lock v:ext="edit"/>
            <v:textbox inset="0mm,0mm,0mm,0mm">
              <w:txbxContent>
                <w:p>
                  <w:pPr>
                    <w:spacing w:before="0" w:line="180" w:lineRule="exact"/>
                    <w:ind w:left="0" w:right="0" w:firstLine="0"/>
                    <w:jc w:val="left"/>
                    <w:rPr>
                      <w:sz w:val="18"/>
                    </w:rPr>
                  </w:pPr>
                  <w:r>
                    <w:rPr>
                      <w:sz w:val="18"/>
                    </w:rPr>
                    <w:t>3</w:t>
                  </w:r>
                </w:p>
              </w:txbxContent>
            </v:textbox>
            <w10:wrap type="topAndBottom"/>
          </v:shape>
        </w:pict>
      </w:r>
    </w:p>
    <w:p>
      <w:pPr>
        <w:spacing w:after="0"/>
        <w:rPr>
          <w:rFonts w:ascii="黑体"/>
          <w:sz w:val="10"/>
        </w:rPr>
        <w:sectPr>
          <w:pgSz w:w="11910" w:h="16840"/>
          <w:pgMar w:top="1640" w:right="260" w:bottom="280" w:left="240" w:header="1449" w:footer="0" w:gutter="0"/>
          <w:cols w:space="720" w:num="1"/>
        </w:sectPr>
      </w:pPr>
    </w:p>
    <w:p>
      <w:pPr>
        <w:pStyle w:val="3"/>
        <w:spacing w:before="154"/>
        <w:ind w:left="721" w:right="1272"/>
        <w:jc w:val="center"/>
      </w:pPr>
      <w:r>
        <w:rPr>
          <w:rFonts w:hint="eastAsia" w:ascii="黑体" w:eastAsia="黑体"/>
          <w:spacing w:val="-27"/>
          <w:lang w:val="en-US" w:eastAsia="zh-CN"/>
        </w:rPr>
        <w:t xml:space="preserve"> </w:t>
      </w:r>
      <w:r>
        <w:rPr>
          <w:rFonts w:ascii="黑体" w:eastAsia="黑体"/>
          <w:spacing w:val="-8"/>
        </w:rPr>
        <w:t xml:space="preserve"> </w:t>
      </w:r>
      <w:r>
        <w:t>（续</w:t>
      </w:r>
      <w:r>
        <w:rPr>
          <w:spacing w:val="-10"/>
        </w:rPr>
        <w:t>）</w:t>
      </w:r>
    </w:p>
    <w:p>
      <w:pPr>
        <w:pStyle w:val="3"/>
        <w:spacing w:before="3"/>
        <w:rPr>
          <w:sz w:val="12"/>
        </w:rPr>
      </w:pPr>
    </w:p>
    <w:tbl>
      <w:tblPr>
        <w:tblStyle w:val="7"/>
        <w:tblW w:w="0" w:type="auto"/>
        <w:tblInd w:w="92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261"/>
        <w:gridCol w:w="1418"/>
        <w:gridCol w:w="1842"/>
        <w:gridCol w:w="480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9" w:hRule="atLeast"/>
        </w:trPr>
        <w:tc>
          <w:tcPr>
            <w:tcW w:w="1261" w:type="dxa"/>
            <w:tcBorders>
              <w:right w:val="single" w:color="000000" w:sz="4" w:space="0"/>
            </w:tcBorders>
          </w:tcPr>
          <w:p>
            <w:pPr>
              <w:pStyle w:val="11"/>
              <w:spacing w:before="66"/>
              <w:ind w:left="268"/>
              <w:rPr>
                <w:sz w:val="18"/>
              </w:rPr>
            </w:pPr>
            <w:r>
              <w:rPr>
                <w:spacing w:val="-3"/>
                <w:sz w:val="18"/>
              </w:rPr>
              <w:t>一级指标</w:t>
            </w:r>
          </w:p>
        </w:tc>
        <w:tc>
          <w:tcPr>
            <w:tcW w:w="1418" w:type="dxa"/>
            <w:tcBorders>
              <w:left w:val="single" w:color="000000" w:sz="4" w:space="0"/>
              <w:right w:val="single" w:color="000000" w:sz="4" w:space="0"/>
            </w:tcBorders>
          </w:tcPr>
          <w:p>
            <w:pPr>
              <w:pStyle w:val="11"/>
              <w:spacing w:before="66"/>
              <w:ind w:left="359"/>
              <w:rPr>
                <w:sz w:val="18"/>
              </w:rPr>
            </w:pPr>
            <w:r>
              <w:rPr>
                <w:spacing w:val="-3"/>
                <w:sz w:val="18"/>
              </w:rPr>
              <w:t>二级指标</w:t>
            </w:r>
          </w:p>
        </w:tc>
        <w:tc>
          <w:tcPr>
            <w:tcW w:w="1842" w:type="dxa"/>
            <w:tcBorders>
              <w:left w:val="single" w:color="000000" w:sz="4" w:space="0"/>
              <w:right w:val="single" w:color="000000" w:sz="4" w:space="0"/>
            </w:tcBorders>
          </w:tcPr>
          <w:p>
            <w:pPr>
              <w:pStyle w:val="11"/>
              <w:spacing w:before="66"/>
              <w:ind w:left="571"/>
              <w:rPr>
                <w:sz w:val="18"/>
              </w:rPr>
            </w:pPr>
            <w:r>
              <w:rPr>
                <w:spacing w:val="-3"/>
                <w:sz w:val="18"/>
              </w:rPr>
              <w:t>三级指标</w:t>
            </w:r>
          </w:p>
        </w:tc>
        <w:tc>
          <w:tcPr>
            <w:tcW w:w="4803" w:type="dxa"/>
            <w:tcBorders>
              <w:left w:val="single" w:color="000000" w:sz="4" w:space="0"/>
            </w:tcBorders>
          </w:tcPr>
          <w:p>
            <w:pPr>
              <w:pStyle w:val="11"/>
              <w:spacing w:before="66"/>
              <w:ind w:left="2030" w:right="2002"/>
              <w:jc w:val="center"/>
              <w:rPr>
                <w:sz w:val="18"/>
              </w:rPr>
            </w:pPr>
            <w:r>
              <w:rPr>
                <w:spacing w:val="-3"/>
                <w:sz w:val="18"/>
              </w:rPr>
              <w:t>指标说明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67" w:hRule="atLeast"/>
        </w:trPr>
        <w:tc>
          <w:tcPr>
            <w:tcW w:w="1261" w:type="dxa"/>
            <w:vMerge w:val="restart"/>
            <w:tcBorders>
              <w:right w:val="single" w:color="000000" w:sz="4" w:space="0"/>
            </w:tcBorders>
          </w:tcPr>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spacing w:before="1"/>
              <w:rPr>
                <w:sz w:val="22"/>
              </w:rPr>
            </w:pPr>
          </w:p>
          <w:p>
            <w:pPr>
              <w:pStyle w:val="11"/>
              <w:spacing w:before="1"/>
              <w:ind w:left="180"/>
              <w:rPr>
                <w:sz w:val="18"/>
              </w:rPr>
            </w:pPr>
            <w:r>
              <w:rPr>
                <w:sz w:val="18"/>
              </w:rPr>
              <w:t>2</w:t>
            </w:r>
            <w:r>
              <w:rPr>
                <w:spacing w:val="-2"/>
                <w:sz w:val="18"/>
              </w:rPr>
              <w:t xml:space="preserve"> 诚信能力</w:t>
            </w:r>
          </w:p>
        </w:tc>
        <w:tc>
          <w:tcPr>
            <w:tcW w:w="1418" w:type="dxa"/>
            <w:vMerge w:val="restart"/>
            <w:tcBorders>
              <w:left w:val="single" w:color="000000" w:sz="4" w:space="0"/>
              <w:bottom w:val="single" w:color="000000" w:sz="4" w:space="0"/>
              <w:right w:val="single" w:color="000000" w:sz="4" w:space="0"/>
            </w:tcBorders>
          </w:tcPr>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spacing w:before="10"/>
              <w:rPr>
                <w:sz w:val="23"/>
              </w:rPr>
            </w:pPr>
          </w:p>
          <w:p>
            <w:pPr>
              <w:pStyle w:val="11"/>
              <w:ind w:left="179"/>
              <w:rPr>
                <w:sz w:val="18"/>
              </w:rPr>
            </w:pPr>
            <w:r>
              <w:rPr>
                <w:sz w:val="18"/>
              </w:rPr>
              <w:t>2.2</w:t>
            </w:r>
            <w:r>
              <w:rPr>
                <w:spacing w:val="-3"/>
                <w:sz w:val="18"/>
              </w:rPr>
              <w:t xml:space="preserve"> 保障能力</w:t>
            </w:r>
          </w:p>
        </w:tc>
        <w:tc>
          <w:tcPr>
            <w:tcW w:w="1842" w:type="dxa"/>
            <w:tcBorders>
              <w:left w:val="single" w:color="000000" w:sz="4" w:space="0"/>
              <w:bottom w:val="single" w:color="000000" w:sz="4" w:space="0"/>
              <w:right w:val="single" w:color="000000" w:sz="4" w:space="0"/>
            </w:tcBorders>
          </w:tcPr>
          <w:p>
            <w:pPr>
              <w:pStyle w:val="11"/>
              <w:rPr>
                <w:sz w:val="18"/>
              </w:rPr>
            </w:pPr>
          </w:p>
          <w:p>
            <w:pPr>
              <w:pStyle w:val="11"/>
              <w:rPr>
                <w:sz w:val="15"/>
              </w:rPr>
            </w:pPr>
          </w:p>
          <w:p>
            <w:pPr>
              <w:pStyle w:val="11"/>
              <w:spacing w:before="1"/>
              <w:ind w:left="119"/>
              <w:rPr>
                <w:sz w:val="18"/>
              </w:rPr>
            </w:pPr>
            <w:r>
              <w:rPr>
                <w:sz w:val="18"/>
              </w:rPr>
              <w:t>2.2.2</w:t>
            </w:r>
            <w:r>
              <w:rPr>
                <w:spacing w:val="-3"/>
                <w:sz w:val="18"/>
              </w:rPr>
              <w:t xml:space="preserve"> 环境卫生保障</w:t>
            </w:r>
          </w:p>
        </w:tc>
        <w:tc>
          <w:tcPr>
            <w:tcW w:w="4803" w:type="dxa"/>
            <w:tcBorders>
              <w:left w:val="single" w:color="000000" w:sz="4" w:space="0"/>
              <w:bottom w:val="single" w:color="000000" w:sz="4" w:space="0"/>
            </w:tcBorders>
          </w:tcPr>
          <w:p>
            <w:pPr>
              <w:pStyle w:val="11"/>
              <w:spacing w:before="66" w:line="372" w:lineRule="auto"/>
              <w:ind w:left="106" w:right="164"/>
              <w:rPr>
                <w:sz w:val="18"/>
              </w:rPr>
            </w:pPr>
            <w:r>
              <w:rPr>
                <w:spacing w:val="-2"/>
                <w:sz w:val="18"/>
              </w:rPr>
              <w:t>场地、设施等环境卫生条件保障能力，包括场地、设施管</w:t>
            </w:r>
            <w:r>
              <w:rPr>
                <w:spacing w:val="-1"/>
                <w:sz w:val="18"/>
              </w:rPr>
              <w:t>理是否符合相关国家标准、行业标准、地方标准规定的环</w:t>
            </w:r>
          </w:p>
          <w:p>
            <w:pPr>
              <w:pStyle w:val="11"/>
              <w:ind w:left="106"/>
              <w:rPr>
                <w:sz w:val="18"/>
              </w:rPr>
            </w:pPr>
            <w:r>
              <w:rPr>
                <w:spacing w:val="-2"/>
                <w:sz w:val="18"/>
              </w:rPr>
              <w:t>境卫生要求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15" w:hRule="atLeast"/>
        </w:trPr>
        <w:tc>
          <w:tcPr>
            <w:tcW w:w="1261" w:type="dxa"/>
            <w:vMerge w:val="continue"/>
            <w:tcBorders>
              <w:top w:val="nil"/>
              <w:right w:val="single" w:color="000000" w:sz="4" w:space="0"/>
            </w:tcBorders>
          </w:tcPr>
          <w:p>
            <w:pPr>
              <w:rPr>
                <w:sz w:val="2"/>
                <w:szCs w:val="2"/>
              </w:rPr>
            </w:pPr>
          </w:p>
        </w:tc>
        <w:tc>
          <w:tcPr>
            <w:tcW w:w="1418" w:type="dxa"/>
            <w:vMerge w:val="continue"/>
            <w:tcBorders>
              <w:top w:val="nil"/>
              <w:left w:val="single" w:color="000000" w:sz="4" w:space="0"/>
              <w:bottom w:val="single" w:color="000000" w:sz="4" w:space="0"/>
              <w:right w:val="single" w:color="000000" w:sz="4" w:space="0"/>
            </w:tcBorders>
          </w:tcPr>
          <w:p>
            <w:pPr>
              <w:rPr>
                <w:sz w:val="2"/>
                <w:szCs w:val="2"/>
              </w:rPr>
            </w:pPr>
          </w:p>
        </w:tc>
        <w:tc>
          <w:tcPr>
            <w:tcW w:w="1842" w:type="dxa"/>
            <w:tcBorders>
              <w:top w:val="single" w:color="000000" w:sz="4" w:space="0"/>
              <w:left w:val="single" w:color="000000" w:sz="4" w:space="0"/>
              <w:bottom w:val="single" w:color="000000" w:sz="4" w:space="0"/>
              <w:right w:val="single" w:color="000000" w:sz="4" w:space="0"/>
            </w:tcBorders>
          </w:tcPr>
          <w:p>
            <w:pPr>
              <w:pStyle w:val="11"/>
              <w:rPr>
                <w:sz w:val="18"/>
              </w:rPr>
            </w:pPr>
          </w:p>
          <w:p>
            <w:pPr>
              <w:pStyle w:val="11"/>
              <w:rPr>
                <w:sz w:val="18"/>
              </w:rPr>
            </w:pPr>
          </w:p>
          <w:p>
            <w:pPr>
              <w:pStyle w:val="11"/>
              <w:spacing w:before="130"/>
              <w:ind w:left="117"/>
              <w:rPr>
                <w:sz w:val="18"/>
              </w:rPr>
            </w:pPr>
            <w:r>
              <w:rPr>
                <w:sz w:val="18"/>
              </w:rPr>
              <w:t>2.2.3</w:t>
            </w:r>
            <w:r>
              <w:rPr>
                <w:spacing w:val="-3"/>
                <w:sz w:val="18"/>
              </w:rPr>
              <w:t xml:space="preserve"> 安全保障</w:t>
            </w:r>
          </w:p>
        </w:tc>
        <w:tc>
          <w:tcPr>
            <w:tcW w:w="4803" w:type="dxa"/>
            <w:tcBorders>
              <w:top w:val="single" w:color="000000" w:sz="4" w:space="0"/>
              <w:left w:val="single" w:color="000000" w:sz="4" w:space="0"/>
              <w:bottom w:val="single" w:color="000000" w:sz="4" w:space="0"/>
            </w:tcBorders>
          </w:tcPr>
          <w:p>
            <w:pPr>
              <w:pStyle w:val="11"/>
              <w:spacing w:before="53" w:line="374" w:lineRule="auto"/>
              <w:ind w:left="106" w:right="164"/>
              <w:jc w:val="both"/>
              <w:rPr>
                <w:sz w:val="18"/>
              </w:rPr>
            </w:pPr>
            <w:r>
              <w:rPr>
                <w:spacing w:val="-2"/>
                <w:sz w:val="18"/>
              </w:rPr>
              <w:t>场地、设施、秩序安全保障和应急处理能力，包括展台搭建等场地设施管理及防暴、防灾、防疫等是否符合相关国</w:t>
            </w:r>
            <w:r>
              <w:rPr>
                <w:spacing w:val="-1"/>
                <w:sz w:val="18"/>
              </w:rPr>
              <w:t>家标准、行业标准、地方标准规定的安全要求；是否有应</w:t>
            </w:r>
          </w:p>
          <w:p>
            <w:pPr>
              <w:pStyle w:val="11"/>
              <w:spacing w:line="229" w:lineRule="exact"/>
              <w:ind w:left="106"/>
              <w:rPr>
                <w:sz w:val="18"/>
              </w:rPr>
            </w:pPr>
            <w:r>
              <w:rPr>
                <w:spacing w:val="-2"/>
                <w:sz w:val="18"/>
              </w:rPr>
              <w:t>急预案和应急保障</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56" w:hRule="atLeast"/>
        </w:trPr>
        <w:tc>
          <w:tcPr>
            <w:tcW w:w="1261" w:type="dxa"/>
            <w:vMerge w:val="continue"/>
            <w:tcBorders>
              <w:top w:val="nil"/>
              <w:right w:val="single" w:color="000000" w:sz="4" w:space="0"/>
            </w:tcBorders>
          </w:tcPr>
          <w:p>
            <w:pPr>
              <w:rPr>
                <w:sz w:val="2"/>
                <w:szCs w:val="2"/>
              </w:rPr>
            </w:pPr>
          </w:p>
        </w:tc>
        <w:tc>
          <w:tcPr>
            <w:tcW w:w="1418" w:type="dxa"/>
            <w:vMerge w:val="continue"/>
            <w:tcBorders>
              <w:top w:val="nil"/>
              <w:left w:val="single" w:color="000000" w:sz="4" w:space="0"/>
              <w:bottom w:val="single" w:color="000000" w:sz="4" w:space="0"/>
              <w:right w:val="single" w:color="000000" w:sz="4" w:space="0"/>
            </w:tcBorders>
          </w:tcPr>
          <w:p>
            <w:pPr>
              <w:rPr>
                <w:sz w:val="2"/>
                <w:szCs w:val="2"/>
              </w:rPr>
            </w:pPr>
          </w:p>
        </w:tc>
        <w:tc>
          <w:tcPr>
            <w:tcW w:w="1842" w:type="dxa"/>
            <w:tcBorders>
              <w:top w:val="single" w:color="000000" w:sz="4" w:space="0"/>
              <w:left w:val="single" w:color="000000" w:sz="4" w:space="0"/>
              <w:bottom w:val="single" w:color="000000" w:sz="4" w:space="0"/>
              <w:right w:val="single" w:color="000000" w:sz="4" w:space="0"/>
            </w:tcBorders>
          </w:tcPr>
          <w:p>
            <w:pPr>
              <w:pStyle w:val="11"/>
              <w:rPr>
                <w:sz w:val="18"/>
              </w:rPr>
            </w:pPr>
          </w:p>
          <w:p>
            <w:pPr>
              <w:pStyle w:val="11"/>
              <w:spacing w:before="1"/>
              <w:rPr>
                <w:sz w:val="14"/>
              </w:rPr>
            </w:pPr>
          </w:p>
          <w:p>
            <w:pPr>
              <w:pStyle w:val="11"/>
              <w:ind w:left="117"/>
              <w:rPr>
                <w:sz w:val="18"/>
              </w:rPr>
            </w:pPr>
            <w:r>
              <w:rPr>
                <w:sz w:val="18"/>
              </w:rPr>
              <w:t>2.2.4</w:t>
            </w:r>
            <w:r>
              <w:rPr>
                <w:spacing w:val="-3"/>
                <w:sz w:val="18"/>
              </w:rPr>
              <w:t xml:space="preserve"> 信息化水平</w:t>
            </w:r>
          </w:p>
        </w:tc>
        <w:tc>
          <w:tcPr>
            <w:tcW w:w="4803" w:type="dxa"/>
            <w:tcBorders>
              <w:top w:val="single" w:color="000000" w:sz="4" w:space="0"/>
              <w:left w:val="single" w:color="000000" w:sz="4" w:space="0"/>
              <w:bottom w:val="single" w:color="000000" w:sz="4" w:space="0"/>
            </w:tcBorders>
          </w:tcPr>
          <w:p>
            <w:pPr>
              <w:pStyle w:val="11"/>
              <w:spacing w:before="53" w:line="372" w:lineRule="auto"/>
              <w:ind w:left="106" w:right="164"/>
              <w:rPr>
                <w:sz w:val="18"/>
              </w:rPr>
            </w:pPr>
            <w:r>
              <w:rPr>
                <w:spacing w:val="-2"/>
                <w:sz w:val="18"/>
              </w:rPr>
              <w:t>会展门户网站、电子信息登记系统等互联网平台建设运营</w:t>
            </w:r>
            <w:r>
              <w:rPr>
                <w:spacing w:val="-1"/>
                <w:sz w:val="18"/>
              </w:rPr>
              <w:t>情况；对会展管理和服务信息采集、存储、共享、分析、</w:t>
            </w:r>
          </w:p>
          <w:p>
            <w:pPr>
              <w:pStyle w:val="11"/>
              <w:spacing w:before="3"/>
              <w:ind w:left="106"/>
              <w:rPr>
                <w:sz w:val="18"/>
              </w:rPr>
            </w:pPr>
            <w:r>
              <w:rPr>
                <w:spacing w:val="-1"/>
                <w:sz w:val="18"/>
              </w:rPr>
              <w:t>统计、上报情况；信息安全保障及信息系统风险防控能力</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15" w:hRule="atLeast"/>
        </w:trPr>
        <w:tc>
          <w:tcPr>
            <w:tcW w:w="1261" w:type="dxa"/>
            <w:vMerge w:val="continue"/>
            <w:tcBorders>
              <w:top w:val="nil"/>
              <w:right w:val="single" w:color="000000" w:sz="4" w:space="0"/>
            </w:tcBorders>
          </w:tcPr>
          <w:p>
            <w:pPr>
              <w:rPr>
                <w:sz w:val="2"/>
                <w:szCs w:val="2"/>
              </w:rPr>
            </w:pPr>
          </w:p>
        </w:tc>
        <w:tc>
          <w:tcPr>
            <w:tcW w:w="1418" w:type="dxa"/>
            <w:vMerge w:val="restart"/>
            <w:tcBorders>
              <w:top w:val="single" w:color="000000" w:sz="4" w:space="0"/>
              <w:left w:val="single" w:color="000000" w:sz="4" w:space="0"/>
              <w:bottom w:val="single" w:color="000000" w:sz="4" w:space="0"/>
              <w:right w:val="single" w:color="000000" w:sz="4" w:space="0"/>
            </w:tcBorders>
          </w:tcPr>
          <w:p>
            <w:pPr>
              <w:pStyle w:val="11"/>
              <w:rPr>
                <w:sz w:val="18"/>
              </w:rPr>
            </w:pPr>
          </w:p>
          <w:p>
            <w:pPr>
              <w:pStyle w:val="11"/>
              <w:rPr>
                <w:sz w:val="18"/>
              </w:rPr>
            </w:pPr>
          </w:p>
          <w:p>
            <w:pPr>
              <w:pStyle w:val="11"/>
              <w:rPr>
                <w:sz w:val="18"/>
              </w:rPr>
            </w:pPr>
          </w:p>
          <w:p>
            <w:pPr>
              <w:pStyle w:val="11"/>
              <w:rPr>
                <w:sz w:val="18"/>
              </w:rPr>
            </w:pPr>
          </w:p>
          <w:p>
            <w:pPr>
              <w:pStyle w:val="11"/>
              <w:spacing w:before="1"/>
              <w:rPr>
                <w:sz w:val="17"/>
              </w:rPr>
            </w:pPr>
          </w:p>
          <w:p>
            <w:pPr>
              <w:pStyle w:val="11"/>
              <w:ind w:left="179"/>
              <w:rPr>
                <w:sz w:val="18"/>
              </w:rPr>
            </w:pPr>
            <w:r>
              <w:rPr>
                <w:sz w:val="18"/>
              </w:rPr>
              <w:t>2.3</w:t>
            </w:r>
            <w:r>
              <w:rPr>
                <w:spacing w:val="-3"/>
                <w:sz w:val="18"/>
              </w:rPr>
              <w:t xml:space="preserve"> 管理能力</w:t>
            </w:r>
          </w:p>
        </w:tc>
        <w:tc>
          <w:tcPr>
            <w:tcW w:w="1842" w:type="dxa"/>
            <w:tcBorders>
              <w:top w:val="single" w:color="000000" w:sz="4" w:space="0"/>
              <w:left w:val="single" w:color="000000" w:sz="4" w:space="0"/>
              <w:bottom w:val="single" w:color="000000" w:sz="4" w:space="0"/>
              <w:right w:val="single" w:color="000000" w:sz="4" w:space="0"/>
            </w:tcBorders>
          </w:tcPr>
          <w:p>
            <w:pPr>
              <w:pStyle w:val="11"/>
              <w:rPr>
                <w:sz w:val="18"/>
              </w:rPr>
            </w:pPr>
          </w:p>
          <w:p>
            <w:pPr>
              <w:pStyle w:val="11"/>
              <w:rPr>
                <w:sz w:val="18"/>
              </w:rPr>
            </w:pPr>
          </w:p>
          <w:p>
            <w:pPr>
              <w:pStyle w:val="11"/>
              <w:spacing w:before="131"/>
              <w:ind w:left="117"/>
              <w:rPr>
                <w:sz w:val="18"/>
              </w:rPr>
            </w:pPr>
            <w:r>
              <w:rPr>
                <w:sz w:val="18"/>
              </w:rPr>
              <w:t>2.3.1</w:t>
            </w:r>
            <w:r>
              <w:rPr>
                <w:spacing w:val="-3"/>
                <w:sz w:val="18"/>
              </w:rPr>
              <w:t xml:space="preserve"> 参展商管理</w:t>
            </w:r>
          </w:p>
        </w:tc>
        <w:tc>
          <w:tcPr>
            <w:tcW w:w="4803" w:type="dxa"/>
            <w:tcBorders>
              <w:top w:val="single" w:color="000000" w:sz="4" w:space="0"/>
              <w:left w:val="single" w:color="000000" w:sz="4" w:space="0"/>
              <w:bottom w:val="single" w:color="000000" w:sz="4" w:space="0"/>
            </w:tcBorders>
          </w:tcPr>
          <w:p>
            <w:pPr>
              <w:pStyle w:val="11"/>
              <w:spacing w:before="54" w:line="374" w:lineRule="auto"/>
              <w:ind w:left="106" w:right="164"/>
              <w:jc w:val="both"/>
              <w:rPr>
                <w:sz w:val="18"/>
              </w:rPr>
            </w:pPr>
            <w:r>
              <w:rPr>
                <w:spacing w:val="-2"/>
                <w:sz w:val="18"/>
              </w:rPr>
              <w:t>对参展商的组织、考核、监督、控制能力，包括是否建立参展商信用档案及形成完备的信用风险评估、预警、处置</w:t>
            </w:r>
            <w:r>
              <w:rPr>
                <w:spacing w:val="-1"/>
                <w:sz w:val="18"/>
              </w:rPr>
              <w:t>机制；是否对参展商广告宣传、知识产权保护等行为合规</w:t>
            </w:r>
          </w:p>
          <w:p>
            <w:pPr>
              <w:pStyle w:val="11"/>
              <w:spacing w:line="229" w:lineRule="exact"/>
              <w:ind w:left="106"/>
              <w:rPr>
                <w:sz w:val="18"/>
              </w:rPr>
            </w:pPr>
            <w:r>
              <w:rPr>
                <w:spacing w:val="-2"/>
                <w:sz w:val="18"/>
              </w:rPr>
              <w:t>性进行监督</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8" w:hRule="atLeast"/>
        </w:trPr>
        <w:tc>
          <w:tcPr>
            <w:tcW w:w="1261" w:type="dxa"/>
            <w:vMerge w:val="continue"/>
            <w:tcBorders>
              <w:top w:val="nil"/>
              <w:right w:val="single" w:color="000000" w:sz="4" w:space="0"/>
            </w:tcBorders>
          </w:tcPr>
          <w:p>
            <w:pPr>
              <w:rPr>
                <w:sz w:val="2"/>
                <w:szCs w:val="2"/>
              </w:rPr>
            </w:pPr>
          </w:p>
        </w:tc>
        <w:tc>
          <w:tcPr>
            <w:tcW w:w="1418" w:type="dxa"/>
            <w:vMerge w:val="continue"/>
            <w:tcBorders>
              <w:top w:val="nil"/>
              <w:left w:val="single" w:color="000000" w:sz="4" w:space="0"/>
              <w:bottom w:val="single" w:color="000000" w:sz="4" w:space="0"/>
              <w:right w:val="single" w:color="000000" w:sz="4" w:space="0"/>
            </w:tcBorders>
          </w:tcPr>
          <w:p>
            <w:pPr>
              <w:rPr>
                <w:sz w:val="2"/>
                <w:szCs w:val="2"/>
              </w:rPr>
            </w:pPr>
          </w:p>
        </w:tc>
        <w:tc>
          <w:tcPr>
            <w:tcW w:w="1842" w:type="dxa"/>
            <w:tcBorders>
              <w:top w:val="single" w:color="000000" w:sz="4" w:space="0"/>
              <w:left w:val="single" w:color="000000" w:sz="4" w:space="0"/>
              <w:bottom w:val="single" w:color="000000" w:sz="4" w:space="0"/>
              <w:right w:val="single" w:color="000000" w:sz="4" w:space="0"/>
            </w:tcBorders>
          </w:tcPr>
          <w:p>
            <w:pPr>
              <w:pStyle w:val="11"/>
              <w:spacing w:before="54"/>
              <w:ind w:left="117"/>
              <w:rPr>
                <w:sz w:val="18"/>
              </w:rPr>
            </w:pPr>
            <w:r>
              <w:rPr>
                <w:sz w:val="18"/>
              </w:rPr>
              <w:t>2.3.2</w:t>
            </w:r>
            <w:r>
              <w:rPr>
                <w:spacing w:val="-3"/>
                <w:sz w:val="18"/>
              </w:rPr>
              <w:t xml:space="preserve"> 观众管理</w:t>
            </w:r>
          </w:p>
        </w:tc>
        <w:tc>
          <w:tcPr>
            <w:tcW w:w="4803" w:type="dxa"/>
            <w:tcBorders>
              <w:top w:val="single" w:color="000000" w:sz="4" w:space="0"/>
              <w:left w:val="single" w:color="000000" w:sz="4" w:space="0"/>
              <w:bottom w:val="single" w:color="000000" w:sz="4" w:space="0"/>
            </w:tcBorders>
          </w:tcPr>
          <w:p>
            <w:pPr>
              <w:pStyle w:val="11"/>
              <w:spacing w:before="54"/>
              <w:ind w:left="106"/>
              <w:rPr>
                <w:sz w:val="18"/>
              </w:rPr>
            </w:pPr>
            <w:r>
              <w:rPr>
                <w:spacing w:val="-1"/>
                <w:sz w:val="18"/>
              </w:rPr>
              <w:t>对观众的组织、引导、控制能力</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7" w:hRule="atLeast"/>
        </w:trPr>
        <w:tc>
          <w:tcPr>
            <w:tcW w:w="1261" w:type="dxa"/>
            <w:vMerge w:val="continue"/>
            <w:tcBorders>
              <w:top w:val="nil"/>
              <w:right w:val="single" w:color="000000" w:sz="4" w:space="0"/>
            </w:tcBorders>
          </w:tcPr>
          <w:p>
            <w:pPr>
              <w:rPr>
                <w:sz w:val="2"/>
                <w:szCs w:val="2"/>
              </w:rPr>
            </w:pPr>
          </w:p>
        </w:tc>
        <w:tc>
          <w:tcPr>
            <w:tcW w:w="1418" w:type="dxa"/>
            <w:vMerge w:val="continue"/>
            <w:tcBorders>
              <w:top w:val="nil"/>
              <w:left w:val="single" w:color="000000" w:sz="4" w:space="0"/>
              <w:bottom w:val="single" w:color="000000" w:sz="4" w:space="0"/>
              <w:right w:val="single" w:color="000000" w:sz="4" w:space="0"/>
            </w:tcBorders>
          </w:tcPr>
          <w:p>
            <w:pPr>
              <w:rPr>
                <w:sz w:val="2"/>
                <w:szCs w:val="2"/>
              </w:rPr>
            </w:pPr>
          </w:p>
        </w:tc>
        <w:tc>
          <w:tcPr>
            <w:tcW w:w="1842" w:type="dxa"/>
            <w:tcBorders>
              <w:top w:val="single" w:color="000000" w:sz="4" w:space="0"/>
              <w:left w:val="single" w:color="000000" w:sz="4" w:space="0"/>
              <w:bottom w:val="single" w:color="000000" w:sz="4" w:space="0"/>
              <w:right w:val="single" w:color="000000" w:sz="4" w:space="0"/>
            </w:tcBorders>
          </w:tcPr>
          <w:p>
            <w:pPr>
              <w:pStyle w:val="11"/>
              <w:spacing w:before="55"/>
              <w:ind w:left="119"/>
              <w:rPr>
                <w:sz w:val="18"/>
              </w:rPr>
            </w:pPr>
            <w:r>
              <w:rPr>
                <w:sz w:val="18"/>
              </w:rPr>
              <w:t>2.3.3</w:t>
            </w:r>
            <w:r>
              <w:rPr>
                <w:spacing w:val="-3"/>
                <w:sz w:val="18"/>
              </w:rPr>
              <w:t xml:space="preserve"> 其他相关方管</w:t>
            </w:r>
          </w:p>
          <w:p>
            <w:pPr>
              <w:pStyle w:val="11"/>
              <w:spacing w:before="127"/>
              <w:ind w:left="27"/>
              <w:jc w:val="center"/>
              <w:rPr>
                <w:sz w:val="18"/>
              </w:rPr>
            </w:pPr>
            <w:r>
              <w:rPr>
                <w:sz w:val="18"/>
              </w:rPr>
              <w:t>理</w:t>
            </w:r>
          </w:p>
        </w:tc>
        <w:tc>
          <w:tcPr>
            <w:tcW w:w="4803" w:type="dxa"/>
            <w:tcBorders>
              <w:top w:val="single" w:color="000000" w:sz="4" w:space="0"/>
              <w:left w:val="single" w:color="000000" w:sz="4" w:space="0"/>
              <w:bottom w:val="single" w:color="000000" w:sz="4" w:space="0"/>
            </w:tcBorders>
          </w:tcPr>
          <w:p>
            <w:pPr>
              <w:pStyle w:val="11"/>
              <w:spacing w:before="55"/>
              <w:ind w:left="106"/>
              <w:rPr>
                <w:sz w:val="18"/>
              </w:rPr>
            </w:pPr>
            <w:r>
              <w:rPr>
                <w:spacing w:val="-1"/>
                <w:sz w:val="18"/>
              </w:rPr>
              <w:t>对主场承建商、特装承建商、场馆运营商、物流服务商、</w:t>
            </w:r>
          </w:p>
          <w:p>
            <w:pPr>
              <w:pStyle w:val="11"/>
              <w:spacing w:before="127"/>
              <w:ind w:left="106"/>
              <w:rPr>
                <w:sz w:val="18"/>
              </w:rPr>
            </w:pPr>
            <w:r>
              <w:rPr>
                <w:spacing w:val="-1"/>
                <w:sz w:val="18"/>
              </w:rPr>
              <w:t>代理商等相关方的监督、协调能力</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7" w:hRule="atLeast"/>
        </w:trPr>
        <w:tc>
          <w:tcPr>
            <w:tcW w:w="1261" w:type="dxa"/>
            <w:vMerge w:val="continue"/>
            <w:tcBorders>
              <w:top w:val="nil"/>
              <w:right w:val="single" w:color="000000" w:sz="4" w:space="0"/>
            </w:tcBorders>
          </w:tcPr>
          <w:p>
            <w:pPr>
              <w:rPr>
                <w:sz w:val="2"/>
                <w:szCs w:val="2"/>
              </w:rPr>
            </w:pPr>
          </w:p>
        </w:tc>
        <w:tc>
          <w:tcPr>
            <w:tcW w:w="1418" w:type="dxa"/>
            <w:vMerge w:val="restart"/>
            <w:tcBorders>
              <w:top w:val="single" w:color="000000" w:sz="4" w:space="0"/>
              <w:left w:val="single" w:color="000000" w:sz="4" w:space="0"/>
              <w:bottom w:val="single" w:color="000000" w:sz="4" w:space="0"/>
              <w:right w:val="single" w:color="000000" w:sz="4" w:space="0"/>
            </w:tcBorders>
          </w:tcPr>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spacing w:before="5"/>
              <w:rPr>
                <w:sz w:val="23"/>
              </w:rPr>
            </w:pPr>
          </w:p>
          <w:p>
            <w:pPr>
              <w:pStyle w:val="11"/>
              <w:ind w:left="179"/>
              <w:rPr>
                <w:sz w:val="18"/>
              </w:rPr>
            </w:pPr>
            <w:r>
              <w:rPr>
                <w:sz w:val="18"/>
              </w:rPr>
              <w:t>2.4</w:t>
            </w:r>
            <w:r>
              <w:rPr>
                <w:spacing w:val="-3"/>
                <w:sz w:val="18"/>
              </w:rPr>
              <w:t xml:space="preserve"> 服务能力</w:t>
            </w:r>
          </w:p>
        </w:tc>
        <w:tc>
          <w:tcPr>
            <w:tcW w:w="1842" w:type="dxa"/>
            <w:tcBorders>
              <w:top w:val="single" w:color="000000" w:sz="4" w:space="0"/>
              <w:left w:val="single" w:color="000000" w:sz="4" w:space="0"/>
              <w:bottom w:val="single" w:color="000000" w:sz="4" w:space="0"/>
              <w:right w:val="single" w:color="000000" w:sz="4" w:space="0"/>
            </w:tcBorders>
          </w:tcPr>
          <w:p>
            <w:pPr>
              <w:pStyle w:val="11"/>
              <w:spacing w:before="3"/>
              <w:rPr>
                <w:sz w:val="18"/>
              </w:rPr>
            </w:pPr>
          </w:p>
          <w:p>
            <w:pPr>
              <w:pStyle w:val="11"/>
              <w:ind w:left="117"/>
              <w:rPr>
                <w:sz w:val="18"/>
              </w:rPr>
            </w:pPr>
            <w:r>
              <w:rPr>
                <w:sz w:val="18"/>
              </w:rPr>
              <w:t>2.4.1</w:t>
            </w:r>
            <w:r>
              <w:rPr>
                <w:spacing w:val="-3"/>
                <w:sz w:val="18"/>
              </w:rPr>
              <w:t xml:space="preserve"> 资质认证</w:t>
            </w:r>
          </w:p>
        </w:tc>
        <w:tc>
          <w:tcPr>
            <w:tcW w:w="4803" w:type="dxa"/>
            <w:tcBorders>
              <w:top w:val="single" w:color="000000" w:sz="4" w:space="0"/>
              <w:left w:val="single" w:color="000000" w:sz="4" w:space="0"/>
              <w:bottom w:val="single" w:color="000000" w:sz="4" w:space="0"/>
            </w:tcBorders>
          </w:tcPr>
          <w:p>
            <w:pPr>
              <w:pStyle w:val="11"/>
              <w:spacing w:before="54"/>
              <w:ind w:left="106"/>
              <w:rPr>
                <w:sz w:val="18"/>
              </w:rPr>
            </w:pPr>
            <w:r>
              <w:rPr>
                <w:spacing w:val="-1"/>
                <w:sz w:val="18"/>
              </w:rPr>
              <w:t>是否获得经国内外权威机构审核通过的与会展服务提供相</w:t>
            </w:r>
          </w:p>
          <w:p>
            <w:pPr>
              <w:pStyle w:val="11"/>
              <w:spacing w:before="127"/>
              <w:ind w:left="106"/>
              <w:rPr>
                <w:sz w:val="18"/>
              </w:rPr>
            </w:pPr>
            <w:r>
              <w:rPr>
                <w:spacing w:val="-1"/>
                <w:sz w:val="18"/>
              </w:rPr>
              <w:t>关的专业资质或第三方认证证书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56" w:hRule="atLeast"/>
        </w:trPr>
        <w:tc>
          <w:tcPr>
            <w:tcW w:w="1261" w:type="dxa"/>
            <w:vMerge w:val="continue"/>
            <w:tcBorders>
              <w:top w:val="nil"/>
              <w:right w:val="single" w:color="000000" w:sz="4" w:space="0"/>
            </w:tcBorders>
          </w:tcPr>
          <w:p>
            <w:pPr>
              <w:rPr>
                <w:sz w:val="2"/>
                <w:szCs w:val="2"/>
              </w:rPr>
            </w:pPr>
          </w:p>
        </w:tc>
        <w:tc>
          <w:tcPr>
            <w:tcW w:w="1418" w:type="dxa"/>
            <w:vMerge w:val="continue"/>
            <w:tcBorders>
              <w:top w:val="nil"/>
              <w:left w:val="single" w:color="000000" w:sz="4" w:space="0"/>
              <w:bottom w:val="single" w:color="000000" w:sz="4" w:space="0"/>
              <w:right w:val="single" w:color="000000" w:sz="4" w:space="0"/>
            </w:tcBorders>
          </w:tcPr>
          <w:p>
            <w:pPr>
              <w:rPr>
                <w:sz w:val="2"/>
                <w:szCs w:val="2"/>
              </w:rPr>
            </w:pPr>
          </w:p>
        </w:tc>
        <w:tc>
          <w:tcPr>
            <w:tcW w:w="1842" w:type="dxa"/>
            <w:tcBorders>
              <w:top w:val="single" w:color="000000" w:sz="4" w:space="0"/>
              <w:left w:val="single" w:color="000000" w:sz="4" w:space="0"/>
              <w:bottom w:val="single" w:color="000000" w:sz="4" w:space="0"/>
              <w:right w:val="single" w:color="000000" w:sz="4" w:space="0"/>
            </w:tcBorders>
          </w:tcPr>
          <w:p>
            <w:pPr>
              <w:pStyle w:val="11"/>
              <w:rPr>
                <w:sz w:val="18"/>
              </w:rPr>
            </w:pPr>
          </w:p>
          <w:p>
            <w:pPr>
              <w:pStyle w:val="11"/>
              <w:spacing w:before="2"/>
              <w:rPr>
                <w:sz w:val="14"/>
              </w:rPr>
            </w:pPr>
          </w:p>
          <w:p>
            <w:pPr>
              <w:pStyle w:val="11"/>
              <w:ind w:left="119"/>
              <w:rPr>
                <w:sz w:val="18"/>
              </w:rPr>
            </w:pPr>
            <w:r>
              <w:rPr>
                <w:sz w:val="18"/>
              </w:rPr>
              <w:t>2.4.2</w:t>
            </w:r>
            <w:r>
              <w:rPr>
                <w:spacing w:val="-3"/>
                <w:sz w:val="18"/>
              </w:rPr>
              <w:t xml:space="preserve"> 服务信息公开</w:t>
            </w:r>
          </w:p>
        </w:tc>
        <w:tc>
          <w:tcPr>
            <w:tcW w:w="4803" w:type="dxa"/>
            <w:tcBorders>
              <w:top w:val="single" w:color="000000" w:sz="4" w:space="0"/>
              <w:left w:val="single" w:color="000000" w:sz="4" w:space="0"/>
              <w:bottom w:val="single" w:color="000000" w:sz="4" w:space="0"/>
            </w:tcBorders>
          </w:tcPr>
          <w:p>
            <w:pPr>
              <w:pStyle w:val="11"/>
              <w:spacing w:before="54" w:line="372" w:lineRule="auto"/>
              <w:ind w:left="106" w:right="-15"/>
              <w:rPr>
                <w:sz w:val="18"/>
              </w:rPr>
            </w:pPr>
            <w:r>
              <w:rPr>
                <w:spacing w:val="-2"/>
                <w:sz w:val="18"/>
              </w:rPr>
              <w:t>是否通过多样化方式公开展会信息、服务信息或服务承诺</w:t>
            </w:r>
            <w:r>
              <w:rPr>
                <w:spacing w:val="40"/>
                <w:sz w:val="18"/>
              </w:rPr>
              <w:t xml:space="preserve"> </w:t>
            </w:r>
            <w:r>
              <w:rPr>
                <w:spacing w:val="-2"/>
                <w:sz w:val="18"/>
              </w:rPr>
              <w:t>等信息并提供信息反馈渠道，信息是否充分、明确、真实、</w:t>
            </w:r>
          </w:p>
          <w:p>
            <w:pPr>
              <w:pStyle w:val="11"/>
              <w:spacing w:before="3"/>
              <w:ind w:left="106"/>
              <w:rPr>
                <w:sz w:val="18"/>
              </w:rPr>
            </w:pPr>
            <w:r>
              <w:rPr>
                <w:spacing w:val="-2"/>
                <w:sz w:val="18"/>
              </w:rPr>
              <w:t>有效、及时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7" w:hRule="atLeast"/>
        </w:trPr>
        <w:tc>
          <w:tcPr>
            <w:tcW w:w="1261" w:type="dxa"/>
            <w:vMerge w:val="continue"/>
            <w:tcBorders>
              <w:top w:val="nil"/>
              <w:right w:val="single" w:color="000000" w:sz="4" w:space="0"/>
            </w:tcBorders>
          </w:tcPr>
          <w:p>
            <w:pPr>
              <w:rPr>
                <w:sz w:val="2"/>
                <w:szCs w:val="2"/>
              </w:rPr>
            </w:pPr>
          </w:p>
        </w:tc>
        <w:tc>
          <w:tcPr>
            <w:tcW w:w="1418" w:type="dxa"/>
            <w:vMerge w:val="continue"/>
            <w:tcBorders>
              <w:top w:val="nil"/>
              <w:left w:val="single" w:color="000000" w:sz="4" w:space="0"/>
              <w:bottom w:val="single" w:color="000000" w:sz="4" w:space="0"/>
              <w:right w:val="single" w:color="000000" w:sz="4" w:space="0"/>
            </w:tcBorders>
          </w:tcPr>
          <w:p>
            <w:pPr>
              <w:rPr>
                <w:sz w:val="2"/>
                <w:szCs w:val="2"/>
              </w:rPr>
            </w:pPr>
          </w:p>
        </w:tc>
        <w:tc>
          <w:tcPr>
            <w:tcW w:w="1842" w:type="dxa"/>
            <w:tcBorders>
              <w:top w:val="single" w:color="000000" w:sz="4" w:space="0"/>
              <w:left w:val="single" w:color="000000" w:sz="4" w:space="0"/>
              <w:bottom w:val="single" w:color="000000" w:sz="4" w:space="0"/>
              <w:right w:val="single" w:color="000000" w:sz="4" w:space="0"/>
            </w:tcBorders>
          </w:tcPr>
          <w:p>
            <w:pPr>
              <w:pStyle w:val="11"/>
              <w:spacing w:before="1"/>
              <w:rPr>
                <w:sz w:val="18"/>
              </w:rPr>
            </w:pPr>
          </w:p>
          <w:p>
            <w:pPr>
              <w:pStyle w:val="11"/>
              <w:ind w:left="117"/>
              <w:rPr>
                <w:sz w:val="18"/>
              </w:rPr>
            </w:pPr>
            <w:r>
              <w:rPr>
                <w:sz w:val="18"/>
              </w:rPr>
              <w:t>2.4.3</w:t>
            </w:r>
            <w:r>
              <w:rPr>
                <w:spacing w:val="-3"/>
                <w:sz w:val="18"/>
              </w:rPr>
              <w:t xml:space="preserve"> 服务提供</w:t>
            </w:r>
          </w:p>
        </w:tc>
        <w:tc>
          <w:tcPr>
            <w:tcW w:w="4803" w:type="dxa"/>
            <w:tcBorders>
              <w:top w:val="single" w:color="000000" w:sz="4" w:space="0"/>
              <w:left w:val="single" w:color="000000" w:sz="4" w:space="0"/>
              <w:bottom w:val="single" w:color="000000" w:sz="4" w:space="0"/>
            </w:tcBorders>
          </w:tcPr>
          <w:p>
            <w:pPr>
              <w:pStyle w:val="11"/>
              <w:spacing w:before="54"/>
              <w:ind w:left="106"/>
              <w:rPr>
                <w:sz w:val="18"/>
              </w:rPr>
            </w:pPr>
            <w:r>
              <w:rPr>
                <w:spacing w:val="-1"/>
                <w:sz w:val="18"/>
              </w:rPr>
              <w:t>对会展场地、物资、人员、技术、信息及相关配套资源的</w:t>
            </w:r>
          </w:p>
          <w:p>
            <w:pPr>
              <w:pStyle w:val="11"/>
              <w:spacing w:before="127"/>
              <w:ind w:left="106"/>
              <w:rPr>
                <w:sz w:val="18"/>
              </w:rPr>
            </w:pPr>
            <w:r>
              <w:rPr>
                <w:spacing w:val="-1"/>
                <w:sz w:val="18"/>
              </w:rPr>
              <w:t>统筹协调，对参展商、观众服务需求的响应及对投诉处理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57" w:hRule="atLeast"/>
        </w:trPr>
        <w:tc>
          <w:tcPr>
            <w:tcW w:w="1261" w:type="dxa"/>
            <w:vMerge w:val="continue"/>
            <w:tcBorders>
              <w:top w:val="nil"/>
              <w:right w:val="single" w:color="000000" w:sz="4" w:space="0"/>
            </w:tcBorders>
          </w:tcPr>
          <w:p>
            <w:pPr>
              <w:rPr>
                <w:sz w:val="2"/>
                <w:szCs w:val="2"/>
              </w:rPr>
            </w:pPr>
          </w:p>
        </w:tc>
        <w:tc>
          <w:tcPr>
            <w:tcW w:w="1418" w:type="dxa"/>
            <w:vMerge w:val="continue"/>
            <w:tcBorders>
              <w:top w:val="nil"/>
              <w:left w:val="single" w:color="000000" w:sz="4" w:space="0"/>
              <w:bottom w:val="single" w:color="000000" w:sz="4" w:space="0"/>
              <w:right w:val="single" w:color="000000" w:sz="4" w:space="0"/>
            </w:tcBorders>
          </w:tcPr>
          <w:p>
            <w:pPr>
              <w:rPr>
                <w:sz w:val="2"/>
                <w:szCs w:val="2"/>
              </w:rPr>
            </w:pPr>
          </w:p>
        </w:tc>
        <w:tc>
          <w:tcPr>
            <w:tcW w:w="1842" w:type="dxa"/>
            <w:tcBorders>
              <w:top w:val="single" w:color="000000" w:sz="4" w:space="0"/>
              <w:left w:val="single" w:color="000000" w:sz="4" w:space="0"/>
              <w:bottom w:val="single" w:color="000000" w:sz="4" w:space="0"/>
              <w:right w:val="single" w:color="000000" w:sz="4" w:space="0"/>
            </w:tcBorders>
          </w:tcPr>
          <w:p>
            <w:pPr>
              <w:pStyle w:val="11"/>
              <w:rPr>
                <w:sz w:val="18"/>
              </w:rPr>
            </w:pPr>
          </w:p>
          <w:p>
            <w:pPr>
              <w:pStyle w:val="11"/>
              <w:spacing w:before="2"/>
              <w:rPr>
                <w:sz w:val="14"/>
              </w:rPr>
            </w:pPr>
          </w:p>
          <w:p>
            <w:pPr>
              <w:pStyle w:val="11"/>
              <w:ind w:left="117"/>
              <w:rPr>
                <w:sz w:val="18"/>
              </w:rPr>
            </w:pPr>
            <w:r>
              <w:rPr>
                <w:sz w:val="18"/>
              </w:rPr>
              <w:t>2.4.4</w:t>
            </w:r>
            <w:r>
              <w:rPr>
                <w:spacing w:val="-3"/>
                <w:sz w:val="18"/>
              </w:rPr>
              <w:t xml:space="preserve"> 服务反馈</w:t>
            </w:r>
          </w:p>
        </w:tc>
        <w:tc>
          <w:tcPr>
            <w:tcW w:w="4803" w:type="dxa"/>
            <w:tcBorders>
              <w:top w:val="single" w:color="000000" w:sz="4" w:space="0"/>
              <w:left w:val="single" w:color="000000" w:sz="4" w:space="0"/>
              <w:bottom w:val="single" w:color="000000" w:sz="4" w:space="0"/>
            </w:tcBorders>
          </w:tcPr>
          <w:p>
            <w:pPr>
              <w:pStyle w:val="11"/>
              <w:spacing w:before="55" w:line="372" w:lineRule="auto"/>
              <w:ind w:left="106" w:right="164"/>
              <w:rPr>
                <w:sz w:val="18"/>
              </w:rPr>
            </w:pPr>
            <w:r>
              <w:rPr>
                <w:spacing w:val="-2"/>
                <w:sz w:val="18"/>
              </w:rPr>
              <w:t>包括对参展商、观众服务体验满意度、投诉及其他反馈信</w:t>
            </w:r>
            <w:r>
              <w:rPr>
                <w:spacing w:val="-1"/>
                <w:sz w:val="18"/>
              </w:rPr>
              <w:t>息的获取情况，可通过问卷调查、直接沟通、投诉渠道、</w:t>
            </w:r>
          </w:p>
          <w:p>
            <w:pPr>
              <w:pStyle w:val="11"/>
              <w:spacing w:before="2"/>
              <w:ind w:left="106"/>
              <w:rPr>
                <w:sz w:val="18"/>
              </w:rPr>
            </w:pPr>
            <w:r>
              <w:rPr>
                <w:spacing w:val="-1"/>
                <w:sz w:val="18"/>
              </w:rPr>
              <w:t>第三方机构评价、消费者权益保护组织反馈等途径获取</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9" w:hRule="atLeast"/>
        </w:trPr>
        <w:tc>
          <w:tcPr>
            <w:tcW w:w="1261" w:type="dxa"/>
            <w:vMerge w:val="continue"/>
            <w:tcBorders>
              <w:top w:val="nil"/>
              <w:right w:val="single" w:color="000000" w:sz="4" w:space="0"/>
            </w:tcBorders>
          </w:tcPr>
          <w:p>
            <w:pPr>
              <w:rPr>
                <w:sz w:val="2"/>
                <w:szCs w:val="2"/>
              </w:rPr>
            </w:pPr>
          </w:p>
        </w:tc>
        <w:tc>
          <w:tcPr>
            <w:tcW w:w="1418" w:type="dxa"/>
            <w:vMerge w:val="restart"/>
            <w:tcBorders>
              <w:top w:val="single" w:color="000000" w:sz="4" w:space="0"/>
              <w:left w:val="single" w:color="000000" w:sz="4" w:space="0"/>
              <w:right w:val="single" w:color="000000" w:sz="4" w:space="0"/>
            </w:tcBorders>
          </w:tcPr>
          <w:p>
            <w:pPr>
              <w:pStyle w:val="11"/>
              <w:rPr>
                <w:sz w:val="18"/>
              </w:rPr>
            </w:pPr>
          </w:p>
          <w:p>
            <w:pPr>
              <w:pStyle w:val="11"/>
              <w:rPr>
                <w:sz w:val="18"/>
              </w:rPr>
            </w:pPr>
          </w:p>
          <w:p>
            <w:pPr>
              <w:pStyle w:val="11"/>
              <w:rPr>
                <w:sz w:val="18"/>
              </w:rPr>
            </w:pPr>
          </w:p>
          <w:p>
            <w:pPr>
              <w:pStyle w:val="11"/>
              <w:rPr>
                <w:sz w:val="18"/>
              </w:rPr>
            </w:pPr>
          </w:p>
          <w:p>
            <w:pPr>
              <w:pStyle w:val="11"/>
              <w:spacing w:before="4"/>
              <w:rPr>
                <w:sz w:val="17"/>
              </w:rPr>
            </w:pPr>
          </w:p>
          <w:p>
            <w:pPr>
              <w:pStyle w:val="11"/>
              <w:ind w:left="179"/>
              <w:rPr>
                <w:sz w:val="18"/>
              </w:rPr>
            </w:pPr>
            <w:r>
              <w:rPr>
                <w:sz w:val="18"/>
              </w:rPr>
              <w:t>2.5</w:t>
            </w:r>
            <w:r>
              <w:rPr>
                <w:spacing w:val="-3"/>
                <w:sz w:val="18"/>
              </w:rPr>
              <w:t xml:space="preserve"> 推广能力</w:t>
            </w:r>
          </w:p>
        </w:tc>
        <w:tc>
          <w:tcPr>
            <w:tcW w:w="1842" w:type="dxa"/>
            <w:tcBorders>
              <w:top w:val="single" w:color="000000" w:sz="4" w:space="0"/>
              <w:left w:val="single" w:color="000000" w:sz="4" w:space="0"/>
              <w:bottom w:val="single" w:color="000000" w:sz="4" w:space="0"/>
              <w:right w:val="single" w:color="000000" w:sz="4" w:space="0"/>
            </w:tcBorders>
          </w:tcPr>
          <w:p>
            <w:pPr>
              <w:pStyle w:val="11"/>
              <w:spacing w:before="55"/>
              <w:ind w:left="117"/>
              <w:rPr>
                <w:sz w:val="18"/>
              </w:rPr>
            </w:pPr>
            <w:r>
              <w:rPr>
                <w:sz w:val="18"/>
              </w:rPr>
              <w:t>2.5.1</w:t>
            </w:r>
            <w:r>
              <w:rPr>
                <w:spacing w:val="-3"/>
                <w:sz w:val="18"/>
              </w:rPr>
              <w:t xml:space="preserve"> 展会规模</w:t>
            </w:r>
          </w:p>
        </w:tc>
        <w:tc>
          <w:tcPr>
            <w:tcW w:w="4803" w:type="dxa"/>
            <w:tcBorders>
              <w:top w:val="single" w:color="000000" w:sz="4" w:space="0"/>
              <w:left w:val="single" w:color="000000" w:sz="4" w:space="0"/>
              <w:bottom w:val="single" w:color="000000" w:sz="4" w:space="0"/>
            </w:tcBorders>
          </w:tcPr>
          <w:p>
            <w:pPr>
              <w:pStyle w:val="11"/>
              <w:spacing w:before="55"/>
              <w:ind w:left="106"/>
              <w:rPr>
                <w:sz w:val="18"/>
              </w:rPr>
            </w:pPr>
            <w:r>
              <w:rPr>
                <w:spacing w:val="-1"/>
                <w:sz w:val="18"/>
              </w:rPr>
              <w:t>包括年度参展商数量、观众数量、展会面积</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trPr>
        <w:tc>
          <w:tcPr>
            <w:tcW w:w="1261" w:type="dxa"/>
            <w:vMerge w:val="continue"/>
            <w:tcBorders>
              <w:top w:val="nil"/>
              <w:right w:val="single" w:color="000000" w:sz="4" w:space="0"/>
            </w:tcBorders>
          </w:tcPr>
          <w:p>
            <w:pPr>
              <w:rPr>
                <w:sz w:val="2"/>
                <w:szCs w:val="2"/>
              </w:rPr>
            </w:pPr>
          </w:p>
        </w:tc>
        <w:tc>
          <w:tcPr>
            <w:tcW w:w="1418" w:type="dxa"/>
            <w:vMerge w:val="continue"/>
            <w:tcBorders>
              <w:top w:val="nil"/>
              <w:left w:val="single" w:color="000000" w:sz="4" w:space="0"/>
              <w:right w:val="single" w:color="000000" w:sz="4" w:space="0"/>
            </w:tcBorders>
          </w:tcPr>
          <w:p>
            <w:pPr>
              <w:rPr>
                <w:sz w:val="2"/>
                <w:szCs w:val="2"/>
              </w:rPr>
            </w:pPr>
          </w:p>
        </w:tc>
        <w:tc>
          <w:tcPr>
            <w:tcW w:w="1842" w:type="dxa"/>
            <w:tcBorders>
              <w:top w:val="single" w:color="000000" w:sz="4" w:space="0"/>
              <w:left w:val="single" w:color="000000" w:sz="4" w:space="0"/>
              <w:bottom w:val="single" w:color="000000" w:sz="4" w:space="0"/>
              <w:right w:val="single" w:color="000000" w:sz="4" w:space="0"/>
            </w:tcBorders>
          </w:tcPr>
          <w:p>
            <w:pPr>
              <w:pStyle w:val="11"/>
              <w:spacing w:before="53"/>
              <w:ind w:left="117"/>
              <w:rPr>
                <w:sz w:val="18"/>
              </w:rPr>
            </w:pPr>
            <w:r>
              <w:rPr>
                <w:sz w:val="18"/>
              </w:rPr>
              <w:t>2.5.2</w:t>
            </w:r>
            <w:r>
              <w:rPr>
                <w:spacing w:val="-4"/>
                <w:sz w:val="18"/>
              </w:rPr>
              <w:t xml:space="preserve"> 连续性</w:t>
            </w:r>
          </w:p>
        </w:tc>
        <w:tc>
          <w:tcPr>
            <w:tcW w:w="4803" w:type="dxa"/>
            <w:tcBorders>
              <w:top w:val="single" w:color="000000" w:sz="4" w:space="0"/>
              <w:left w:val="single" w:color="000000" w:sz="4" w:space="0"/>
              <w:bottom w:val="single" w:color="000000" w:sz="4" w:space="0"/>
            </w:tcBorders>
          </w:tcPr>
          <w:p>
            <w:pPr>
              <w:pStyle w:val="11"/>
              <w:spacing w:before="53"/>
              <w:ind w:left="106"/>
              <w:rPr>
                <w:sz w:val="18"/>
              </w:rPr>
            </w:pPr>
            <w:r>
              <w:rPr>
                <w:spacing w:val="-1"/>
                <w:sz w:val="18"/>
              </w:rPr>
              <w:t>指连续主办或承办同一个专业性会展的届数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7" w:hRule="atLeast"/>
        </w:trPr>
        <w:tc>
          <w:tcPr>
            <w:tcW w:w="1261" w:type="dxa"/>
            <w:vMerge w:val="continue"/>
            <w:tcBorders>
              <w:top w:val="nil"/>
              <w:right w:val="single" w:color="000000" w:sz="4" w:space="0"/>
            </w:tcBorders>
          </w:tcPr>
          <w:p>
            <w:pPr>
              <w:rPr>
                <w:sz w:val="2"/>
                <w:szCs w:val="2"/>
              </w:rPr>
            </w:pPr>
          </w:p>
        </w:tc>
        <w:tc>
          <w:tcPr>
            <w:tcW w:w="1418" w:type="dxa"/>
            <w:vMerge w:val="continue"/>
            <w:tcBorders>
              <w:top w:val="nil"/>
              <w:left w:val="single" w:color="000000" w:sz="4" w:space="0"/>
              <w:right w:val="single" w:color="000000" w:sz="4" w:space="0"/>
            </w:tcBorders>
          </w:tcPr>
          <w:p>
            <w:pPr>
              <w:rPr>
                <w:sz w:val="2"/>
                <w:szCs w:val="2"/>
              </w:rPr>
            </w:pPr>
          </w:p>
        </w:tc>
        <w:tc>
          <w:tcPr>
            <w:tcW w:w="1842" w:type="dxa"/>
            <w:tcBorders>
              <w:top w:val="single" w:color="000000" w:sz="4" w:space="0"/>
              <w:left w:val="single" w:color="000000" w:sz="4" w:space="0"/>
              <w:bottom w:val="single" w:color="000000" w:sz="4" w:space="0"/>
              <w:right w:val="single" w:color="000000" w:sz="4" w:space="0"/>
            </w:tcBorders>
          </w:tcPr>
          <w:p>
            <w:pPr>
              <w:pStyle w:val="11"/>
              <w:spacing w:before="4"/>
              <w:rPr>
                <w:sz w:val="18"/>
              </w:rPr>
            </w:pPr>
          </w:p>
          <w:p>
            <w:pPr>
              <w:pStyle w:val="11"/>
              <w:ind w:left="117"/>
              <w:rPr>
                <w:sz w:val="18"/>
              </w:rPr>
            </w:pPr>
            <w:r>
              <w:rPr>
                <w:sz w:val="18"/>
              </w:rPr>
              <w:t>2.5.3</w:t>
            </w:r>
            <w:r>
              <w:rPr>
                <w:spacing w:val="-3"/>
                <w:sz w:val="18"/>
              </w:rPr>
              <w:t xml:space="preserve"> 社会关注</w:t>
            </w:r>
          </w:p>
        </w:tc>
        <w:tc>
          <w:tcPr>
            <w:tcW w:w="4803" w:type="dxa"/>
            <w:tcBorders>
              <w:top w:val="single" w:color="000000" w:sz="4" w:space="0"/>
              <w:left w:val="single" w:color="000000" w:sz="4" w:space="0"/>
              <w:bottom w:val="single" w:color="000000" w:sz="4" w:space="0"/>
            </w:tcBorders>
          </w:tcPr>
          <w:p>
            <w:pPr>
              <w:pStyle w:val="11"/>
              <w:spacing w:before="54"/>
              <w:ind w:left="106"/>
              <w:rPr>
                <w:sz w:val="18"/>
              </w:rPr>
            </w:pPr>
            <w:r>
              <w:rPr>
                <w:spacing w:val="-1"/>
                <w:sz w:val="18"/>
              </w:rPr>
              <w:t>包括对会展组展企业社交媒体平台的关注情况及官方网站</w:t>
            </w:r>
          </w:p>
          <w:p>
            <w:pPr>
              <w:pStyle w:val="11"/>
              <w:spacing w:before="127"/>
              <w:ind w:left="106"/>
              <w:rPr>
                <w:sz w:val="18"/>
              </w:rPr>
            </w:pPr>
            <w:r>
              <w:rPr>
                <w:spacing w:val="-3"/>
                <w:sz w:val="18"/>
              </w:rPr>
              <w:t>访问情况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65" w:hRule="atLeast"/>
        </w:trPr>
        <w:tc>
          <w:tcPr>
            <w:tcW w:w="1261" w:type="dxa"/>
            <w:vMerge w:val="continue"/>
            <w:tcBorders>
              <w:top w:val="nil"/>
              <w:right w:val="single" w:color="000000" w:sz="4" w:space="0"/>
            </w:tcBorders>
          </w:tcPr>
          <w:p>
            <w:pPr>
              <w:rPr>
                <w:sz w:val="2"/>
                <w:szCs w:val="2"/>
              </w:rPr>
            </w:pPr>
          </w:p>
        </w:tc>
        <w:tc>
          <w:tcPr>
            <w:tcW w:w="1418" w:type="dxa"/>
            <w:vMerge w:val="continue"/>
            <w:tcBorders>
              <w:top w:val="nil"/>
              <w:left w:val="single" w:color="000000" w:sz="4" w:space="0"/>
              <w:right w:val="single" w:color="000000" w:sz="4" w:space="0"/>
            </w:tcBorders>
          </w:tcPr>
          <w:p>
            <w:pPr>
              <w:rPr>
                <w:sz w:val="2"/>
                <w:szCs w:val="2"/>
              </w:rPr>
            </w:pPr>
          </w:p>
        </w:tc>
        <w:tc>
          <w:tcPr>
            <w:tcW w:w="1842" w:type="dxa"/>
            <w:tcBorders>
              <w:top w:val="single" w:color="000000" w:sz="4" w:space="0"/>
              <w:left w:val="single" w:color="000000" w:sz="4" w:space="0"/>
              <w:right w:val="single" w:color="000000" w:sz="4" w:space="0"/>
            </w:tcBorders>
          </w:tcPr>
          <w:p>
            <w:pPr>
              <w:pStyle w:val="11"/>
              <w:rPr>
                <w:sz w:val="18"/>
              </w:rPr>
            </w:pPr>
          </w:p>
          <w:p>
            <w:pPr>
              <w:pStyle w:val="11"/>
              <w:spacing w:before="1"/>
              <w:rPr>
                <w:sz w:val="14"/>
              </w:rPr>
            </w:pPr>
          </w:p>
          <w:p>
            <w:pPr>
              <w:pStyle w:val="11"/>
              <w:ind w:left="117"/>
              <w:rPr>
                <w:sz w:val="18"/>
              </w:rPr>
            </w:pPr>
            <w:r>
              <w:rPr>
                <w:sz w:val="18"/>
              </w:rPr>
              <w:t>2.5.4</w:t>
            </w:r>
            <w:r>
              <w:rPr>
                <w:spacing w:val="-3"/>
                <w:sz w:val="18"/>
              </w:rPr>
              <w:t xml:space="preserve"> 区域辐射</w:t>
            </w:r>
          </w:p>
        </w:tc>
        <w:tc>
          <w:tcPr>
            <w:tcW w:w="4803" w:type="dxa"/>
            <w:tcBorders>
              <w:top w:val="single" w:color="000000" w:sz="4" w:space="0"/>
              <w:left w:val="single" w:color="000000" w:sz="4" w:space="0"/>
            </w:tcBorders>
          </w:tcPr>
          <w:p>
            <w:pPr>
              <w:pStyle w:val="11"/>
              <w:spacing w:before="54" w:line="372" w:lineRule="auto"/>
              <w:ind w:left="106" w:right="-15"/>
              <w:rPr>
                <w:sz w:val="18"/>
              </w:rPr>
            </w:pPr>
            <w:r>
              <w:rPr>
                <w:spacing w:val="-2"/>
                <w:sz w:val="18"/>
              </w:rPr>
              <w:t>包括每年办展（会）的境外观众比例、省外观众比例、境</w:t>
            </w:r>
            <w:r>
              <w:rPr>
                <w:spacing w:val="40"/>
                <w:sz w:val="18"/>
              </w:rPr>
              <w:t xml:space="preserve"> </w:t>
            </w:r>
            <w:r>
              <w:rPr>
                <w:spacing w:val="-3"/>
                <w:sz w:val="18"/>
              </w:rPr>
              <w:t xml:space="preserve">外参展商比例、省外参展商比例、世界 </w:t>
            </w:r>
            <w:r>
              <w:rPr>
                <w:sz w:val="18"/>
              </w:rPr>
              <w:t>500</w:t>
            </w:r>
            <w:r>
              <w:rPr>
                <w:spacing w:val="-7"/>
                <w:sz w:val="18"/>
              </w:rPr>
              <w:t xml:space="preserve"> 强参展商比例、</w:t>
            </w:r>
          </w:p>
          <w:p>
            <w:pPr>
              <w:pStyle w:val="11"/>
              <w:spacing w:before="2"/>
              <w:ind w:left="106"/>
              <w:rPr>
                <w:sz w:val="18"/>
              </w:rPr>
            </w:pPr>
            <w:r>
              <w:rPr>
                <w:spacing w:val="-1"/>
                <w:sz w:val="18"/>
              </w:rPr>
              <w:t>参展商及观众来源地分布范围等</w:t>
            </w:r>
          </w:p>
        </w:tc>
      </w:tr>
    </w:tbl>
    <w:p>
      <w:pPr>
        <w:pStyle w:val="3"/>
        <w:rPr>
          <w:sz w:val="20"/>
        </w:rPr>
      </w:pPr>
    </w:p>
    <w:p>
      <w:pPr>
        <w:pStyle w:val="3"/>
        <w:spacing w:before="1"/>
        <w:rPr>
          <w:sz w:val="16"/>
        </w:rPr>
      </w:pPr>
      <w:r>
        <w:pict>
          <v:shape id="docshape18" o:spid="_x0000_s1041" o:spt="202" type="#_x0000_t202" style="position:absolute;left:0pt;margin-left:68pt;margin-top:11.5pt;height:9pt;width:5.5pt;mso-position-horizontal-relative:page;mso-wrap-distance-bottom:0pt;mso-wrap-distance-top:0pt;z-index:-251645952;mso-width-relative:page;mso-height-relative:page;" filled="f" stroked="f" coordsize="21600,21600">
            <v:path/>
            <v:fill on="f" focussize="0,0"/>
            <v:stroke on="f" joinstyle="miter"/>
            <v:imagedata o:title=""/>
            <o:lock v:ext="edit"/>
            <v:textbox inset="0mm,0mm,0mm,0mm">
              <w:txbxContent>
                <w:p>
                  <w:pPr>
                    <w:spacing w:before="0" w:line="180" w:lineRule="exact"/>
                    <w:ind w:left="0" w:right="0" w:firstLine="0"/>
                    <w:jc w:val="left"/>
                    <w:rPr>
                      <w:sz w:val="18"/>
                    </w:rPr>
                  </w:pPr>
                  <w:r>
                    <w:rPr>
                      <w:sz w:val="18"/>
                    </w:rPr>
                    <w:t>4</w:t>
                  </w:r>
                </w:p>
              </w:txbxContent>
            </v:textbox>
            <w10:wrap type="topAndBottom"/>
          </v:shape>
        </w:pict>
      </w:r>
    </w:p>
    <w:p>
      <w:pPr>
        <w:spacing w:after="0"/>
        <w:rPr>
          <w:sz w:val="16"/>
        </w:rPr>
        <w:sectPr>
          <w:pgSz w:w="11910" w:h="16840"/>
          <w:pgMar w:top="1640" w:right="260" w:bottom="280" w:left="240" w:header="1449" w:footer="0" w:gutter="0"/>
          <w:cols w:space="720" w:num="1"/>
        </w:sectPr>
      </w:pPr>
    </w:p>
    <w:p>
      <w:pPr>
        <w:pStyle w:val="3"/>
        <w:spacing w:before="10"/>
        <w:rPr>
          <w:sz w:val="18"/>
        </w:rPr>
      </w:pPr>
    </w:p>
    <w:p>
      <w:pPr>
        <w:pStyle w:val="3"/>
        <w:spacing w:before="69"/>
        <w:ind w:left="13"/>
        <w:jc w:val="center"/>
      </w:pPr>
      <w:r>
        <w:rPr>
          <w:rFonts w:hint="eastAsia" w:ascii="黑体" w:eastAsia="黑体"/>
          <w:spacing w:val="-27"/>
          <w:lang w:val="en-US" w:eastAsia="zh-CN"/>
        </w:rPr>
        <w:t xml:space="preserve"> </w:t>
      </w:r>
      <w:r>
        <w:t>（续</w:t>
      </w:r>
      <w:r>
        <w:rPr>
          <w:spacing w:val="-10"/>
        </w:rPr>
        <w:t>）</w:t>
      </w:r>
    </w:p>
    <w:p>
      <w:pPr>
        <w:pStyle w:val="3"/>
        <w:spacing w:before="4"/>
        <w:rPr>
          <w:sz w:val="12"/>
        </w:rPr>
      </w:pPr>
    </w:p>
    <w:tbl>
      <w:tblPr>
        <w:tblStyle w:val="7"/>
        <w:tblW w:w="0" w:type="auto"/>
        <w:tblInd w:w="120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261"/>
        <w:gridCol w:w="1418"/>
        <w:gridCol w:w="1842"/>
        <w:gridCol w:w="480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9" w:hRule="atLeast"/>
        </w:trPr>
        <w:tc>
          <w:tcPr>
            <w:tcW w:w="1261" w:type="dxa"/>
            <w:tcBorders>
              <w:right w:val="single" w:color="000000" w:sz="4" w:space="0"/>
            </w:tcBorders>
          </w:tcPr>
          <w:p>
            <w:pPr>
              <w:pStyle w:val="11"/>
              <w:spacing w:before="66"/>
              <w:ind w:left="270"/>
              <w:rPr>
                <w:sz w:val="18"/>
              </w:rPr>
            </w:pPr>
            <w:r>
              <w:rPr>
                <w:spacing w:val="-3"/>
                <w:sz w:val="18"/>
              </w:rPr>
              <w:t>一级指标</w:t>
            </w:r>
          </w:p>
        </w:tc>
        <w:tc>
          <w:tcPr>
            <w:tcW w:w="1418" w:type="dxa"/>
            <w:tcBorders>
              <w:left w:val="single" w:color="000000" w:sz="4" w:space="0"/>
              <w:right w:val="single" w:color="000000" w:sz="4" w:space="0"/>
            </w:tcBorders>
          </w:tcPr>
          <w:p>
            <w:pPr>
              <w:pStyle w:val="11"/>
              <w:spacing w:before="66"/>
              <w:ind w:left="358"/>
              <w:rPr>
                <w:sz w:val="18"/>
              </w:rPr>
            </w:pPr>
            <w:r>
              <w:rPr>
                <w:spacing w:val="-3"/>
                <w:sz w:val="18"/>
              </w:rPr>
              <w:t>二级指标</w:t>
            </w:r>
          </w:p>
        </w:tc>
        <w:tc>
          <w:tcPr>
            <w:tcW w:w="1842" w:type="dxa"/>
            <w:tcBorders>
              <w:left w:val="single" w:color="000000" w:sz="4" w:space="0"/>
              <w:right w:val="single" w:color="000000" w:sz="4" w:space="0"/>
            </w:tcBorders>
          </w:tcPr>
          <w:p>
            <w:pPr>
              <w:pStyle w:val="11"/>
              <w:spacing w:before="66"/>
              <w:ind w:left="570"/>
              <w:rPr>
                <w:sz w:val="18"/>
              </w:rPr>
            </w:pPr>
            <w:r>
              <w:rPr>
                <w:spacing w:val="-3"/>
                <w:sz w:val="18"/>
              </w:rPr>
              <w:t>三级指标</w:t>
            </w:r>
          </w:p>
        </w:tc>
        <w:tc>
          <w:tcPr>
            <w:tcW w:w="4803" w:type="dxa"/>
            <w:tcBorders>
              <w:left w:val="single" w:color="000000" w:sz="4" w:space="0"/>
            </w:tcBorders>
          </w:tcPr>
          <w:p>
            <w:pPr>
              <w:pStyle w:val="11"/>
              <w:spacing w:before="66"/>
              <w:ind w:left="2029" w:right="2003"/>
              <w:jc w:val="center"/>
              <w:rPr>
                <w:sz w:val="18"/>
              </w:rPr>
            </w:pPr>
            <w:r>
              <w:rPr>
                <w:spacing w:val="-3"/>
                <w:sz w:val="18"/>
              </w:rPr>
              <w:t>指标说明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8" w:hRule="atLeast"/>
        </w:trPr>
        <w:tc>
          <w:tcPr>
            <w:tcW w:w="1261" w:type="dxa"/>
            <w:vMerge w:val="restart"/>
            <w:tcBorders>
              <w:right w:val="single" w:color="000000" w:sz="4" w:space="0"/>
            </w:tcBorders>
          </w:tcPr>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spacing w:before="1"/>
              <w:rPr>
                <w:sz w:val="25"/>
              </w:rPr>
            </w:pPr>
          </w:p>
          <w:p>
            <w:pPr>
              <w:pStyle w:val="11"/>
              <w:ind w:left="179"/>
              <w:rPr>
                <w:sz w:val="18"/>
              </w:rPr>
            </w:pPr>
            <w:r>
              <w:rPr>
                <w:sz w:val="18"/>
              </w:rPr>
              <w:t>3</w:t>
            </w:r>
            <w:r>
              <w:rPr>
                <w:spacing w:val="-2"/>
                <w:sz w:val="18"/>
              </w:rPr>
              <w:t xml:space="preserve"> 诚信行为</w:t>
            </w:r>
          </w:p>
        </w:tc>
        <w:tc>
          <w:tcPr>
            <w:tcW w:w="1418" w:type="dxa"/>
            <w:vMerge w:val="restart"/>
            <w:tcBorders>
              <w:left w:val="single" w:color="000000" w:sz="4" w:space="0"/>
              <w:bottom w:val="single" w:color="000000" w:sz="4" w:space="0"/>
              <w:right w:val="single" w:color="000000" w:sz="4" w:space="0"/>
            </w:tcBorders>
          </w:tcPr>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spacing w:before="9"/>
              <w:rPr>
                <w:sz w:val="24"/>
              </w:rPr>
            </w:pPr>
          </w:p>
          <w:p>
            <w:pPr>
              <w:pStyle w:val="11"/>
              <w:ind w:left="178"/>
              <w:rPr>
                <w:sz w:val="18"/>
              </w:rPr>
            </w:pPr>
            <w:r>
              <w:rPr>
                <w:sz w:val="18"/>
              </w:rPr>
              <w:t>3.1</w:t>
            </w:r>
            <w:r>
              <w:rPr>
                <w:spacing w:val="-3"/>
                <w:sz w:val="18"/>
              </w:rPr>
              <w:t xml:space="preserve"> 合规情况</w:t>
            </w:r>
          </w:p>
        </w:tc>
        <w:tc>
          <w:tcPr>
            <w:tcW w:w="1842" w:type="dxa"/>
            <w:tcBorders>
              <w:left w:val="single" w:color="000000" w:sz="4" w:space="0"/>
              <w:bottom w:val="single" w:color="000000" w:sz="4" w:space="0"/>
              <w:right w:val="single" w:color="000000" w:sz="4" w:space="0"/>
            </w:tcBorders>
          </w:tcPr>
          <w:p>
            <w:pPr>
              <w:pStyle w:val="11"/>
              <w:rPr>
                <w:sz w:val="19"/>
              </w:rPr>
            </w:pPr>
          </w:p>
          <w:p>
            <w:pPr>
              <w:pStyle w:val="11"/>
              <w:ind w:left="121"/>
              <w:rPr>
                <w:sz w:val="18"/>
              </w:rPr>
            </w:pPr>
            <w:r>
              <w:rPr>
                <w:sz w:val="18"/>
              </w:rPr>
              <w:t>3.1.1</w:t>
            </w:r>
            <w:r>
              <w:rPr>
                <w:spacing w:val="-3"/>
                <w:sz w:val="18"/>
              </w:rPr>
              <w:t xml:space="preserve"> 知识产权保护</w:t>
            </w:r>
          </w:p>
        </w:tc>
        <w:tc>
          <w:tcPr>
            <w:tcW w:w="4803" w:type="dxa"/>
            <w:tcBorders>
              <w:left w:val="single" w:color="000000" w:sz="4" w:space="0"/>
              <w:bottom w:val="single" w:color="000000" w:sz="4" w:space="0"/>
            </w:tcBorders>
          </w:tcPr>
          <w:p>
            <w:pPr>
              <w:pStyle w:val="11"/>
              <w:spacing w:before="66"/>
              <w:ind w:left="107"/>
              <w:rPr>
                <w:sz w:val="18"/>
              </w:rPr>
            </w:pPr>
            <w:r>
              <w:rPr>
                <w:sz w:val="18"/>
              </w:rPr>
              <w:t>对会展有关专利权、商标权、版权的保护情况（</w:t>
            </w:r>
            <w:r>
              <w:rPr>
                <w:spacing w:val="-3"/>
                <w:sz w:val="18"/>
              </w:rPr>
              <w:t>如是否因</w:t>
            </w:r>
          </w:p>
          <w:p>
            <w:pPr>
              <w:pStyle w:val="11"/>
              <w:spacing w:before="127"/>
              <w:ind w:left="107"/>
              <w:rPr>
                <w:sz w:val="18"/>
              </w:rPr>
            </w:pPr>
            <w:r>
              <w:rPr>
                <w:sz w:val="18"/>
              </w:rPr>
              <w:t>侵犯知识产权在市场监管部门有失信记录</w:t>
            </w:r>
            <w:r>
              <w:rPr>
                <w:spacing w:val="-10"/>
                <w:sz w:val="18"/>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7" w:hRule="atLeast"/>
        </w:trPr>
        <w:tc>
          <w:tcPr>
            <w:tcW w:w="1261" w:type="dxa"/>
            <w:vMerge w:val="continue"/>
            <w:tcBorders>
              <w:top w:val="nil"/>
              <w:right w:val="single" w:color="000000" w:sz="4" w:space="0"/>
            </w:tcBorders>
          </w:tcPr>
          <w:p>
            <w:pPr>
              <w:rPr>
                <w:sz w:val="2"/>
                <w:szCs w:val="2"/>
              </w:rPr>
            </w:pPr>
          </w:p>
        </w:tc>
        <w:tc>
          <w:tcPr>
            <w:tcW w:w="1418" w:type="dxa"/>
            <w:vMerge w:val="continue"/>
            <w:tcBorders>
              <w:top w:val="nil"/>
              <w:left w:val="single" w:color="000000" w:sz="4" w:space="0"/>
              <w:bottom w:val="single" w:color="000000" w:sz="4" w:space="0"/>
              <w:right w:val="single" w:color="000000" w:sz="4" w:space="0"/>
            </w:tcBorders>
          </w:tcPr>
          <w:p>
            <w:pPr>
              <w:rPr>
                <w:sz w:val="2"/>
                <w:szCs w:val="2"/>
              </w:rPr>
            </w:pPr>
          </w:p>
        </w:tc>
        <w:tc>
          <w:tcPr>
            <w:tcW w:w="1842" w:type="dxa"/>
            <w:tcBorders>
              <w:top w:val="single" w:color="000000" w:sz="4" w:space="0"/>
              <w:left w:val="single" w:color="000000" w:sz="4" w:space="0"/>
              <w:bottom w:val="single" w:color="000000" w:sz="4" w:space="0"/>
              <w:right w:val="single" w:color="000000" w:sz="4" w:space="0"/>
            </w:tcBorders>
          </w:tcPr>
          <w:p>
            <w:pPr>
              <w:pStyle w:val="11"/>
              <w:spacing w:before="1"/>
              <w:rPr>
                <w:sz w:val="18"/>
              </w:rPr>
            </w:pPr>
          </w:p>
          <w:p>
            <w:pPr>
              <w:pStyle w:val="11"/>
              <w:spacing w:before="1"/>
              <w:ind w:left="116"/>
              <w:rPr>
                <w:sz w:val="18"/>
              </w:rPr>
            </w:pPr>
            <w:r>
              <w:rPr>
                <w:sz w:val="18"/>
              </w:rPr>
              <w:t>3.1.2</w:t>
            </w:r>
            <w:r>
              <w:rPr>
                <w:spacing w:val="-3"/>
                <w:sz w:val="18"/>
              </w:rPr>
              <w:t xml:space="preserve"> 诚信纳税</w:t>
            </w:r>
          </w:p>
        </w:tc>
        <w:tc>
          <w:tcPr>
            <w:tcW w:w="4803" w:type="dxa"/>
            <w:tcBorders>
              <w:top w:val="single" w:color="000000" w:sz="4" w:space="0"/>
              <w:left w:val="single" w:color="000000" w:sz="4" w:space="0"/>
              <w:bottom w:val="single" w:color="000000" w:sz="4" w:space="0"/>
            </w:tcBorders>
          </w:tcPr>
          <w:p>
            <w:pPr>
              <w:pStyle w:val="11"/>
              <w:spacing w:before="55"/>
              <w:ind w:left="107"/>
              <w:rPr>
                <w:sz w:val="18"/>
              </w:rPr>
            </w:pPr>
            <w:r>
              <w:rPr>
                <w:sz w:val="18"/>
              </w:rPr>
              <w:t>依法纳税的情况（</w:t>
            </w:r>
            <w:r>
              <w:rPr>
                <w:spacing w:val="-1"/>
                <w:sz w:val="18"/>
              </w:rPr>
              <w:t>如是否诚信纳税；是否在税务部门有失</w:t>
            </w:r>
          </w:p>
          <w:p>
            <w:pPr>
              <w:pStyle w:val="11"/>
              <w:spacing w:before="127"/>
              <w:ind w:left="107"/>
              <w:rPr>
                <w:sz w:val="18"/>
              </w:rPr>
            </w:pPr>
            <w:r>
              <w:rPr>
                <w:sz w:val="18"/>
              </w:rPr>
              <w:t>信记录</w:t>
            </w:r>
            <w:r>
              <w:rPr>
                <w:spacing w:val="-10"/>
                <w:sz w:val="18"/>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7" w:hRule="atLeast"/>
        </w:trPr>
        <w:tc>
          <w:tcPr>
            <w:tcW w:w="1261" w:type="dxa"/>
            <w:vMerge w:val="continue"/>
            <w:tcBorders>
              <w:top w:val="nil"/>
              <w:right w:val="single" w:color="000000" w:sz="4" w:space="0"/>
            </w:tcBorders>
          </w:tcPr>
          <w:p>
            <w:pPr>
              <w:rPr>
                <w:sz w:val="2"/>
                <w:szCs w:val="2"/>
              </w:rPr>
            </w:pPr>
          </w:p>
        </w:tc>
        <w:tc>
          <w:tcPr>
            <w:tcW w:w="1418" w:type="dxa"/>
            <w:vMerge w:val="continue"/>
            <w:tcBorders>
              <w:top w:val="nil"/>
              <w:left w:val="single" w:color="000000" w:sz="4" w:space="0"/>
              <w:bottom w:val="single" w:color="000000" w:sz="4" w:space="0"/>
              <w:right w:val="single" w:color="000000" w:sz="4" w:space="0"/>
            </w:tcBorders>
          </w:tcPr>
          <w:p>
            <w:pPr>
              <w:rPr>
                <w:sz w:val="2"/>
                <w:szCs w:val="2"/>
              </w:rPr>
            </w:pPr>
          </w:p>
        </w:tc>
        <w:tc>
          <w:tcPr>
            <w:tcW w:w="1842" w:type="dxa"/>
            <w:tcBorders>
              <w:top w:val="single" w:color="000000" w:sz="4" w:space="0"/>
              <w:left w:val="single" w:color="000000" w:sz="4" w:space="0"/>
              <w:bottom w:val="single" w:color="000000" w:sz="4" w:space="0"/>
              <w:right w:val="single" w:color="000000" w:sz="4" w:space="0"/>
            </w:tcBorders>
          </w:tcPr>
          <w:p>
            <w:pPr>
              <w:pStyle w:val="11"/>
              <w:spacing w:before="4"/>
              <w:rPr>
                <w:sz w:val="18"/>
              </w:rPr>
            </w:pPr>
          </w:p>
          <w:p>
            <w:pPr>
              <w:pStyle w:val="11"/>
              <w:ind w:left="116"/>
              <w:rPr>
                <w:sz w:val="18"/>
              </w:rPr>
            </w:pPr>
            <w:r>
              <w:rPr>
                <w:sz w:val="18"/>
              </w:rPr>
              <w:t>3.1.3</w:t>
            </w:r>
            <w:r>
              <w:rPr>
                <w:spacing w:val="-3"/>
                <w:sz w:val="18"/>
              </w:rPr>
              <w:t xml:space="preserve"> 市场推广</w:t>
            </w:r>
          </w:p>
        </w:tc>
        <w:tc>
          <w:tcPr>
            <w:tcW w:w="4803" w:type="dxa"/>
            <w:tcBorders>
              <w:top w:val="single" w:color="000000" w:sz="4" w:space="0"/>
              <w:left w:val="single" w:color="000000" w:sz="4" w:space="0"/>
              <w:bottom w:val="single" w:color="000000" w:sz="4" w:space="0"/>
            </w:tcBorders>
          </w:tcPr>
          <w:p>
            <w:pPr>
              <w:pStyle w:val="11"/>
              <w:spacing w:before="55"/>
              <w:ind w:left="107"/>
              <w:rPr>
                <w:sz w:val="18"/>
              </w:rPr>
            </w:pPr>
            <w:r>
              <w:rPr>
                <w:spacing w:val="-1"/>
                <w:sz w:val="18"/>
              </w:rPr>
              <w:t>在开展会展业务拓展、品牌推介、广告宣传过程中遵纪守</w:t>
            </w:r>
          </w:p>
          <w:p>
            <w:pPr>
              <w:pStyle w:val="11"/>
              <w:spacing w:before="127"/>
              <w:ind w:left="107" w:right="-15"/>
              <w:rPr>
                <w:sz w:val="18"/>
              </w:rPr>
            </w:pPr>
            <w:r>
              <w:rPr>
                <w:spacing w:val="-2"/>
                <w:sz w:val="18"/>
              </w:rPr>
              <w:t>法的情况（如是否因虚假宣传在市场监管部门有失信记录</w:t>
            </w:r>
            <w:r>
              <w:rPr>
                <w:spacing w:val="-10"/>
                <w:sz w:val="18"/>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9" w:hRule="atLeast"/>
        </w:trPr>
        <w:tc>
          <w:tcPr>
            <w:tcW w:w="1261" w:type="dxa"/>
            <w:vMerge w:val="continue"/>
            <w:tcBorders>
              <w:top w:val="nil"/>
              <w:right w:val="single" w:color="000000" w:sz="4" w:space="0"/>
            </w:tcBorders>
          </w:tcPr>
          <w:p>
            <w:pPr>
              <w:rPr>
                <w:sz w:val="2"/>
                <w:szCs w:val="2"/>
              </w:rPr>
            </w:pPr>
          </w:p>
        </w:tc>
        <w:tc>
          <w:tcPr>
            <w:tcW w:w="1418" w:type="dxa"/>
            <w:vMerge w:val="continue"/>
            <w:tcBorders>
              <w:top w:val="nil"/>
              <w:left w:val="single" w:color="000000" w:sz="4" w:space="0"/>
              <w:bottom w:val="single" w:color="000000" w:sz="4" w:space="0"/>
              <w:right w:val="single" w:color="000000" w:sz="4" w:space="0"/>
            </w:tcBorders>
          </w:tcPr>
          <w:p>
            <w:pPr>
              <w:rPr>
                <w:sz w:val="2"/>
                <w:szCs w:val="2"/>
              </w:rPr>
            </w:pPr>
          </w:p>
        </w:tc>
        <w:tc>
          <w:tcPr>
            <w:tcW w:w="1842" w:type="dxa"/>
            <w:tcBorders>
              <w:top w:val="single" w:color="000000" w:sz="4" w:space="0"/>
              <w:left w:val="single" w:color="000000" w:sz="4" w:space="0"/>
              <w:bottom w:val="single" w:color="000000" w:sz="4" w:space="0"/>
              <w:right w:val="single" w:color="000000" w:sz="4" w:space="0"/>
            </w:tcBorders>
          </w:tcPr>
          <w:p>
            <w:pPr>
              <w:pStyle w:val="11"/>
              <w:spacing w:before="54"/>
              <w:ind w:left="121"/>
              <w:rPr>
                <w:sz w:val="18"/>
              </w:rPr>
            </w:pPr>
            <w:r>
              <w:rPr>
                <w:sz w:val="18"/>
              </w:rPr>
              <w:t>3.1.4</w:t>
            </w:r>
            <w:r>
              <w:rPr>
                <w:spacing w:val="-3"/>
                <w:sz w:val="18"/>
              </w:rPr>
              <w:t xml:space="preserve"> 其他公共管理</w:t>
            </w:r>
          </w:p>
        </w:tc>
        <w:tc>
          <w:tcPr>
            <w:tcW w:w="4803" w:type="dxa"/>
            <w:tcBorders>
              <w:top w:val="single" w:color="000000" w:sz="4" w:space="0"/>
              <w:left w:val="single" w:color="000000" w:sz="4" w:space="0"/>
              <w:bottom w:val="single" w:color="000000" w:sz="4" w:space="0"/>
            </w:tcBorders>
          </w:tcPr>
          <w:p>
            <w:pPr>
              <w:pStyle w:val="11"/>
              <w:spacing w:before="54"/>
              <w:ind w:left="107"/>
              <w:rPr>
                <w:sz w:val="18"/>
              </w:rPr>
            </w:pPr>
            <w:r>
              <w:rPr>
                <w:spacing w:val="-1"/>
                <w:sz w:val="18"/>
              </w:rPr>
              <w:t>在其他公共管理方面的遵纪守法情况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56" w:hRule="atLeast"/>
        </w:trPr>
        <w:tc>
          <w:tcPr>
            <w:tcW w:w="1261" w:type="dxa"/>
            <w:vMerge w:val="continue"/>
            <w:tcBorders>
              <w:top w:val="nil"/>
              <w:right w:val="single" w:color="000000" w:sz="4" w:space="0"/>
            </w:tcBorders>
          </w:tcPr>
          <w:p>
            <w:pPr>
              <w:rPr>
                <w:sz w:val="2"/>
                <w:szCs w:val="2"/>
              </w:rPr>
            </w:pPr>
          </w:p>
        </w:tc>
        <w:tc>
          <w:tcPr>
            <w:tcW w:w="1418" w:type="dxa"/>
            <w:vMerge w:val="continue"/>
            <w:tcBorders>
              <w:top w:val="nil"/>
              <w:left w:val="single" w:color="000000" w:sz="4" w:space="0"/>
              <w:bottom w:val="single" w:color="000000" w:sz="4" w:space="0"/>
              <w:right w:val="single" w:color="000000" w:sz="4" w:space="0"/>
            </w:tcBorders>
          </w:tcPr>
          <w:p>
            <w:pPr>
              <w:rPr>
                <w:sz w:val="2"/>
                <w:szCs w:val="2"/>
              </w:rPr>
            </w:pPr>
          </w:p>
        </w:tc>
        <w:tc>
          <w:tcPr>
            <w:tcW w:w="1842" w:type="dxa"/>
            <w:tcBorders>
              <w:top w:val="single" w:color="000000" w:sz="4" w:space="0"/>
              <w:left w:val="single" w:color="000000" w:sz="4" w:space="0"/>
              <w:bottom w:val="single" w:color="000000" w:sz="4" w:space="0"/>
              <w:right w:val="single" w:color="000000" w:sz="4" w:space="0"/>
            </w:tcBorders>
          </w:tcPr>
          <w:p>
            <w:pPr>
              <w:pStyle w:val="11"/>
              <w:rPr>
                <w:sz w:val="18"/>
              </w:rPr>
            </w:pPr>
          </w:p>
          <w:p>
            <w:pPr>
              <w:pStyle w:val="11"/>
              <w:spacing w:before="2"/>
              <w:rPr>
                <w:sz w:val="14"/>
              </w:rPr>
            </w:pPr>
          </w:p>
          <w:p>
            <w:pPr>
              <w:pStyle w:val="11"/>
              <w:ind w:left="116"/>
              <w:rPr>
                <w:sz w:val="18"/>
              </w:rPr>
            </w:pPr>
            <w:r>
              <w:rPr>
                <w:sz w:val="18"/>
              </w:rPr>
              <w:t>3.1.5</w:t>
            </w:r>
            <w:r>
              <w:rPr>
                <w:spacing w:val="-3"/>
                <w:sz w:val="18"/>
              </w:rPr>
              <w:t xml:space="preserve"> 管理层品质</w:t>
            </w:r>
          </w:p>
        </w:tc>
        <w:tc>
          <w:tcPr>
            <w:tcW w:w="4803" w:type="dxa"/>
            <w:tcBorders>
              <w:top w:val="single" w:color="000000" w:sz="4" w:space="0"/>
              <w:left w:val="single" w:color="000000" w:sz="4" w:space="0"/>
              <w:bottom w:val="single" w:color="000000" w:sz="4" w:space="0"/>
            </w:tcBorders>
          </w:tcPr>
          <w:p>
            <w:pPr>
              <w:pStyle w:val="11"/>
              <w:spacing w:before="55" w:line="372" w:lineRule="auto"/>
              <w:ind w:left="107" w:right="163"/>
              <w:rPr>
                <w:sz w:val="18"/>
              </w:rPr>
            </w:pPr>
            <w:r>
              <w:rPr>
                <w:spacing w:val="-2"/>
                <w:sz w:val="18"/>
              </w:rPr>
              <w:t>会展组展企业管理层人员（包括企业法定代表人、董事、</w:t>
            </w:r>
            <w:r>
              <w:rPr>
                <w:sz w:val="18"/>
              </w:rPr>
              <w:t>监事、高级管理人员等）</w:t>
            </w:r>
            <w:r>
              <w:rPr>
                <w:spacing w:val="-1"/>
                <w:sz w:val="18"/>
              </w:rPr>
              <w:t>的合规行为，一定期限内是否存</w:t>
            </w:r>
          </w:p>
          <w:p>
            <w:pPr>
              <w:pStyle w:val="11"/>
              <w:ind w:left="107"/>
              <w:rPr>
                <w:sz w:val="18"/>
              </w:rPr>
            </w:pPr>
            <w:r>
              <w:rPr>
                <w:spacing w:val="-1"/>
                <w:sz w:val="18"/>
              </w:rPr>
              <w:t>在失信记录，如失信被执行等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56" w:hRule="atLeast"/>
        </w:trPr>
        <w:tc>
          <w:tcPr>
            <w:tcW w:w="1261" w:type="dxa"/>
            <w:vMerge w:val="continue"/>
            <w:tcBorders>
              <w:top w:val="nil"/>
              <w:right w:val="single" w:color="000000" w:sz="4" w:space="0"/>
            </w:tcBorders>
          </w:tcPr>
          <w:p>
            <w:pPr>
              <w:rPr>
                <w:sz w:val="2"/>
                <w:szCs w:val="2"/>
              </w:rPr>
            </w:pPr>
          </w:p>
        </w:tc>
        <w:tc>
          <w:tcPr>
            <w:tcW w:w="1418" w:type="dxa"/>
            <w:vMerge w:val="restart"/>
            <w:tcBorders>
              <w:top w:val="single" w:color="000000" w:sz="4" w:space="0"/>
              <w:left w:val="single" w:color="000000" w:sz="4" w:space="0"/>
              <w:bottom w:val="single" w:color="000000" w:sz="4" w:space="0"/>
              <w:right w:val="single" w:color="000000" w:sz="4" w:space="0"/>
            </w:tcBorders>
          </w:tcPr>
          <w:p>
            <w:pPr>
              <w:pStyle w:val="11"/>
              <w:rPr>
                <w:sz w:val="18"/>
              </w:rPr>
            </w:pPr>
          </w:p>
          <w:p>
            <w:pPr>
              <w:pStyle w:val="11"/>
              <w:rPr>
                <w:sz w:val="18"/>
              </w:rPr>
            </w:pPr>
          </w:p>
          <w:p>
            <w:pPr>
              <w:pStyle w:val="11"/>
              <w:rPr>
                <w:sz w:val="18"/>
              </w:rPr>
            </w:pPr>
          </w:p>
          <w:p>
            <w:pPr>
              <w:pStyle w:val="11"/>
              <w:spacing w:before="8"/>
              <w:rPr>
                <w:sz w:val="20"/>
              </w:rPr>
            </w:pPr>
          </w:p>
          <w:p>
            <w:pPr>
              <w:pStyle w:val="11"/>
              <w:ind w:left="178"/>
              <w:rPr>
                <w:sz w:val="18"/>
              </w:rPr>
            </w:pPr>
            <w:r>
              <w:rPr>
                <w:sz w:val="18"/>
              </w:rPr>
              <w:t>3.2</w:t>
            </w:r>
            <w:r>
              <w:rPr>
                <w:spacing w:val="-3"/>
                <w:sz w:val="18"/>
              </w:rPr>
              <w:t xml:space="preserve"> 履约情况</w:t>
            </w:r>
          </w:p>
        </w:tc>
        <w:tc>
          <w:tcPr>
            <w:tcW w:w="1842" w:type="dxa"/>
            <w:tcBorders>
              <w:top w:val="single" w:color="000000" w:sz="4" w:space="0"/>
              <w:left w:val="single" w:color="000000" w:sz="4" w:space="0"/>
              <w:bottom w:val="single" w:color="000000" w:sz="4" w:space="0"/>
              <w:right w:val="single" w:color="000000" w:sz="4" w:space="0"/>
            </w:tcBorders>
          </w:tcPr>
          <w:p>
            <w:pPr>
              <w:pStyle w:val="11"/>
              <w:rPr>
                <w:sz w:val="18"/>
              </w:rPr>
            </w:pPr>
          </w:p>
          <w:p>
            <w:pPr>
              <w:pStyle w:val="11"/>
              <w:spacing w:before="3"/>
              <w:rPr>
                <w:sz w:val="14"/>
              </w:rPr>
            </w:pPr>
          </w:p>
          <w:p>
            <w:pPr>
              <w:pStyle w:val="11"/>
              <w:ind w:left="116"/>
              <w:rPr>
                <w:sz w:val="18"/>
              </w:rPr>
            </w:pPr>
            <w:r>
              <w:rPr>
                <w:sz w:val="18"/>
              </w:rPr>
              <w:t>3.2.1</w:t>
            </w:r>
            <w:r>
              <w:rPr>
                <w:spacing w:val="-3"/>
                <w:sz w:val="18"/>
              </w:rPr>
              <w:t xml:space="preserve"> 劳动保障</w:t>
            </w:r>
          </w:p>
        </w:tc>
        <w:tc>
          <w:tcPr>
            <w:tcW w:w="4803" w:type="dxa"/>
            <w:tcBorders>
              <w:top w:val="single" w:color="000000" w:sz="4" w:space="0"/>
              <w:left w:val="single" w:color="000000" w:sz="4" w:space="0"/>
              <w:bottom w:val="single" w:color="000000" w:sz="4" w:space="0"/>
            </w:tcBorders>
          </w:tcPr>
          <w:p>
            <w:pPr>
              <w:pStyle w:val="11"/>
              <w:spacing w:before="56"/>
              <w:ind w:left="107"/>
              <w:rPr>
                <w:sz w:val="18"/>
              </w:rPr>
            </w:pPr>
            <w:r>
              <w:rPr>
                <w:spacing w:val="-1"/>
                <w:sz w:val="18"/>
              </w:rPr>
              <w:t>员工工资水平及是否有工资拖欠情况，与劳动者签订劳动</w:t>
            </w:r>
          </w:p>
          <w:p>
            <w:pPr>
              <w:pStyle w:val="11"/>
              <w:spacing w:before="7" w:line="350" w:lineRule="atLeast"/>
              <w:ind w:left="107" w:right="163"/>
              <w:rPr>
                <w:sz w:val="18"/>
              </w:rPr>
            </w:pPr>
            <w:r>
              <w:rPr>
                <w:spacing w:val="-2"/>
                <w:sz w:val="18"/>
              </w:rPr>
              <w:t>合同情况，为劳动者实施保护情况，为劳动者提供社会保障情况，履行劳动仲裁等生效法律文书情况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56" w:hRule="atLeast"/>
        </w:trPr>
        <w:tc>
          <w:tcPr>
            <w:tcW w:w="1261" w:type="dxa"/>
            <w:vMerge w:val="continue"/>
            <w:tcBorders>
              <w:top w:val="nil"/>
              <w:right w:val="single" w:color="000000" w:sz="4" w:space="0"/>
            </w:tcBorders>
          </w:tcPr>
          <w:p>
            <w:pPr>
              <w:rPr>
                <w:sz w:val="2"/>
                <w:szCs w:val="2"/>
              </w:rPr>
            </w:pPr>
          </w:p>
        </w:tc>
        <w:tc>
          <w:tcPr>
            <w:tcW w:w="1418" w:type="dxa"/>
            <w:vMerge w:val="continue"/>
            <w:tcBorders>
              <w:top w:val="nil"/>
              <w:left w:val="single" w:color="000000" w:sz="4" w:space="0"/>
              <w:bottom w:val="single" w:color="000000" w:sz="4" w:space="0"/>
              <w:right w:val="single" w:color="000000" w:sz="4" w:space="0"/>
            </w:tcBorders>
          </w:tcPr>
          <w:p>
            <w:pPr>
              <w:rPr>
                <w:sz w:val="2"/>
                <w:szCs w:val="2"/>
              </w:rPr>
            </w:pPr>
          </w:p>
        </w:tc>
        <w:tc>
          <w:tcPr>
            <w:tcW w:w="1842" w:type="dxa"/>
            <w:tcBorders>
              <w:top w:val="single" w:color="000000" w:sz="4" w:space="0"/>
              <w:left w:val="single" w:color="000000" w:sz="4" w:space="0"/>
              <w:bottom w:val="single" w:color="000000" w:sz="4" w:space="0"/>
              <w:right w:val="single" w:color="000000" w:sz="4" w:space="0"/>
            </w:tcBorders>
          </w:tcPr>
          <w:p>
            <w:pPr>
              <w:pStyle w:val="11"/>
              <w:rPr>
                <w:sz w:val="18"/>
              </w:rPr>
            </w:pPr>
          </w:p>
          <w:p>
            <w:pPr>
              <w:pStyle w:val="11"/>
              <w:spacing w:before="1"/>
              <w:rPr>
                <w:sz w:val="14"/>
              </w:rPr>
            </w:pPr>
          </w:p>
          <w:p>
            <w:pPr>
              <w:pStyle w:val="11"/>
              <w:ind w:left="116"/>
              <w:rPr>
                <w:sz w:val="18"/>
              </w:rPr>
            </w:pPr>
            <w:r>
              <w:rPr>
                <w:sz w:val="18"/>
              </w:rPr>
              <w:t>3.2.2</w:t>
            </w:r>
            <w:r>
              <w:rPr>
                <w:spacing w:val="-3"/>
                <w:sz w:val="18"/>
              </w:rPr>
              <w:t xml:space="preserve"> 合同履约</w:t>
            </w:r>
          </w:p>
        </w:tc>
        <w:tc>
          <w:tcPr>
            <w:tcW w:w="4803" w:type="dxa"/>
            <w:tcBorders>
              <w:top w:val="single" w:color="000000" w:sz="4" w:space="0"/>
              <w:left w:val="single" w:color="000000" w:sz="4" w:space="0"/>
              <w:bottom w:val="single" w:color="000000" w:sz="4" w:space="0"/>
            </w:tcBorders>
          </w:tcPr>
          <w:p>
            <w:pPr>
              <w:pStyle w:val="11"/>
              <w:spacing w:before="54" w:line="372" w:lineRule="auto"/>
              <w:ind w:left="107" w:right="163"/>
              <w:rPr>
                <w:sz w:val="18"/>
              </w:rPr>
            </w:pPr>
            <w:r>
              <w:rPr>
                <w:spacing w:val="-2"/>
                <w:sz w:val="18"/>
              </w:rPr>
              <w:t>与主场承建商、特装承建商、参展商、场馆运营商、物流</w:t>
            </w:r>
            <w:r>
              <w:rPr>
                <w:spacing w:val="-1"/>
                <w:sz w:val="18"/>
              </w:rPr>
              <w:t>服务商及其他客户、代理商、供应商等各种经济合同、协</w:t>
            </w:r>
          </w:p>
          <w:p>
            <w:pPr>
              <w:pStyle w:val="11"/>
              <w:spacing w:before="2"/>
              <w:ind w:left="107"/>
              <w:rPr>
                <w:sz w:val="18"/>
              </w:rPr>
            </w:pPr>
            <w:r>
              <w:rPr>
                <w:spacing w:val="-2"/>
                <w:sz w:val="18"/>
              </w:rPr>
              <w:t>议的遵守情况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7" w:hRule="atLeast"/>
        </w:trPr>
        <w:tc>
          <w:tcPr>
            <w:tcW w:w="1261" w:type="dxa"/>
            <w:vMerge w:val="continue"/>
            <w:tcBorders>
              <w:top w:val="nil"/>
              <w:right w:val="single" w:color="000000" w:sz="4" w:space="0"/>
            </w:tcBorders>
          </w:tcPr>
          <w:p>
            <w:pPr>
              <w:rPr>
                <w:sz w:val="2"/>
                <w:szCs w:val="2"/>
              </w:rPr>
            </w:pPr>
          </w:p>
        </w:tc>
        <w:tc>
          <w:tcPr>
            <w:tcW w:w="1418" w:type="dxa"/>
            <w:vMerge w:val="restart"/>
            <w:tcBorders>
              <w:top w:val="single" w:color="000000" w:sz="4" w:space="0"/>
              <w:left w:val="single" w:color="000000" w:sz="4" w:space="0"/>
              <w:right w:val="single" w:color="000000" w:sz="4" w:space="0"/>
            </w:tcBorders>
          </w:tcPr>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spacing w:before="5"/>
              <w:rPr>
                <w:sz w:val="13"/>
              </w:rPr>
            </w:pPr>
          </w:p>
          <w:p>
            <w:pPr>
              <w:pStyle w:val="11"/>
              <w:ind w:left="178"/>
              <w:rPr>
                <w:sz w:val="18"/>
              </w:rPr>
            </w:pPr>
            <w:r>
              <w:rPr>
                <w:sz w:val="18"/>
              </w:rPr>
              <w:t>3.3</w:t>
            </w:r>
            <w:r>
              <w:rPr>
                <w:spacing w:val="-3"/>
                <w:sz w:val="18"/>
              </w:rPr>
              <w:t xml:space="preserve"> 社会责任</w:t>
            </w:r>
          </w:p>
        </w:tc>
        <w:tc>
          <w:tcPr>
            <w:tcW w:w="1842" w:type="dxa"/>
            <w:tcBorders>
              <w:top w:val="single" w:color="000000" w:sz="4" w:space="0"/>
              <w:left w:val="single" w:color="000000" w:sz="4" w:space="0"/>
              <w:bottom w:val="single" w:color="000000" w:sz="4" w:space="0"/>
              <w:right w:val="single" w:color="000000" w:sz="4" w:space="0"/>
            </w:tcBorders>
          </w:tcPr>
          <w:p>
            <w:pPr>
              <w:pStyle w:val="11"/>
              <w:spacing w:before="2"/>
              <w:rPr>
                <w:sz w:val="18"/>
              </w:rPr>
            </w:pPr>
          </w:p>
          <w:p>
            <w:pPr>
              <w:pStyle w:val="11"/>
              <w:ind w:left="116"/>
              <w:rPr>
                <w:sz w:val="18"/>
              </w:rPr>
            </w:pPr>
            <w:r>
              <w:rPr>
                <w:sz w:val="18"/>
              </w:rPr>
              <w:t>3.3.1</w:t>
            </w:r>
            <w:r>
              <w:rPr>
                <w:spacing w:val="-3"/>
                <w:sz w:val="18"/>
              </w:rPr>
              <w:t xml:space="preserve"> 绿色会展</w:t>
            </w:r>
          </w:p>
        </w:tc>
        <w:tc>
          <w:tcPr>
            <w:tcW w:w="4803" w:type="dxa"/>
            <w:tcBorders>
              <w:top w:val="single" w:color="000000" w:sz="4" w:space="0"/>
              <w:left w:val="single" w:color="000000" w:sz="4" w:space="0"/>
              <w:bottom w:val="single" w:color="000000" w:sz="4" w:space="0"/>
            </w:tcBorders>
          </w:tcPr>
          <w:p>
            <w:pPr>
              <w:pStyle w:val="11"/>
              <w:spacing w:before="55"/>
              <w:ind w:left="107"/>
              <w:rPr>
                <w:sz w:val="18"/>
              </w:rPr>
            </w:pPr>
            <w:r>
              <w:rPr>
                <w:spacing w:val="-1"/>
                <w:sz w:val="18"/>
              </w:rPr>
              <w:t>是否采取有效措施减少资源投入和废弃物排放及加强节能</w:t>
            </w:r>
          </w:p>
          <w:p>
            <w:pPr>
              <w:pStyle w:val="11"/>
              <w:spacing w:before="127"/>
              <w:ind w:left="107"/>
              <w:rPr>
                <w:sz w:val="18"/>
              </w:rPr>
            </w:pPr>
            <w:r>
              <w:rPr>
                <w:spacing w:val="-2"/>
                <w:sz w:val="18"/>
              </w:rPr>
              <w:t>降耗和资源循环利用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7" w:hRule="atLeast"/>
        </w:trPr>
        <w:tc>
          <w:tcPr>
            <w:tcW w:w="1261" w:type="dxa"/>
            <w:vMerge w:val="continue"/>
            <w:tcBorders>
              <w:top w:val="nil"/>
              <w:right w:val="single" w:color="000000" w:sz="4" w:space="0"/>
            </w:tcBorders>
          </w:tcPr>
          <w:p>
            <w:pPr>
              <w:rPr>
                <w:sz w:val="2"/>
                <w:szCs w:val="2"/>
              </w:rPr>
            </w:pPr>
          </w:p>
        </w:tc>
        <w:tc>
          <w:tcPr>
            <w:tcW w:w="1418" w:type="dxa"/>
            <w:vMerge w:val="continue"/>
            <w:tcBorders>
              <w:top w:val="nil"/>
              <w:left w:val="single" w:color="000000" w:sz="4" w:space="0"/>
              <w:right w:val="single" w:color="000000" w:sz="4" w:space="0"/>
            </w:tcBorders>
          </w:tcPr>
          <w:p>
            <w:pPr>
              <w:rPr>
                <w:sz w:val="2"/>
                <w:szCs w:val="2"/>
              </w:rPr>
            </w:pPr>
          </w:p>
        </w:tc>
        <w:tc>
          <w:tcPr>
            <w:tcW w:w="1842" w:type="dxa"/>
            <w:tcBorders>
              <w:top w:val="single" w:color="000000" w:sz="4" w:space="0"/>
              <w:left w:val="single" w:color="000000" w:sz="4" w:space="0"/>
              <w:bottom w:val="single" w:color="000000" w:sz="4" w:space="0"/>
              <w:right w:val="single" w:color="000000" w:sz="4" w:space="0"/>
            </w:tcBorders>
          </w:tcPr>
          <w:p>
            <w:pPr>
              <w:pStyle w:val="11"/>
              <w:spacing w:before="1"/>
              <w:rPr>
                <w:sz w:val="18"/>
              </w:rPr>
            </w:pPr>
          </w:p>
          <w:p>
            <w:pPr>
              <w:pStyle w:val="11"/>
              <w:ind w:left="116"/>
              <w:rPr>
                <w:sz w:val="18"/>
              </w:rPr>
            </w:pPr>
            <w:r>
              <w:rPr>
                <w:sz w:val="18"/>
              </w:rPr>
              <w:t>3.3.2</w:t>
            </w:r>
            <w:r>
              <w:rPr>
                <w:spacing w:val="-3"/>
                <w:sz w:val="18"/>
              </w:rPr>
              <w:t xml:space="preserve"> 公益活动</w:t>
            </w:r>
          </w:p>
        </w:tc>
        <w:tc>
          <w:tcPr>
            <w:tcW w:w="4803" w:type="dxa"/>
            <w:tcBorders>
              <w:top w:val="single" w:color="000000" w:sz="4" w:space="0"/>
              <w:left w:val="single" w:color="000000" w:sz="4" w:space="0"/>
              <w:bottom w:val="single" w:color="000000" w:sz="4" w:space="0"/>
            </w:tcBorders>
          </w:tcPr>
          <w:p>
            <w:pPr>
              <w:pStyle w:val="11"/>
              <w:spacing w:before="54"/>
              <w:ind w:left="107"/>
              <w:rPr>
                <w:sz w:val="18"/>
              </w:rPr>
            </w:pPr>
            <w:r>
              <w:rPr>
                <w:spacing w:val="-1"/>
                <w:sz w:val="18"/>
              </w:rPr>
              <w:t>参与社会公益活动计划、活动记录、捐助证明、社区服务</w:t>
            </w:r>
          </w:p>
          <w:p>
            <w:pPr>
              <w:pStyle w:val="11"/>
              <w:spacing w:before="127"/>
              <w:ind w:left="107"/>
              <w:rPr>
                <w:sz w:val="18"/>
              </w:rPr>
            </w:pPr>
            <w:r>
              <w:rPr>
                <w:spacing w:val="-2"/>
                <w:sz w:val="18"/>
              </w:rPr>
              <w:t>投入等记录</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8" w:hRule="atLeast"/>
        </w:trPr>
        <w:tc>
          <w:tcPr>
            <w:tcW w:w="1261" w:type="dxa"/>
            <w:vMerge w:val="continue"/>
            <w:tcBorders>
              <w:top w:val="nil"/>
              <w:right w:val="single" w:color="000000" w:sz="4" w:space="0"/>
            </w:tcBorders>
          </w:tcPr>
          <w:p>
            <w:pPr>
              <w:rPr>
                <w:sz w:val="2"/>
                <w:szCs w:val="2"/>
              </w:rPr>
            </w:pPr>
          </w:p>
        </w:tc>
        <w:tc>
          <w:tcPr>
            <w:tcW w:w="1418" w:type="dxa"/>
            <w:vMerge w:val="continue"/>
            <w:tcBorders>
              <w:top w:val="nil"/>
              <w:left w:val="single" w:color="000000" w:sz="4" w:space="0"/>
              <w:right w:val="single" w:color="000000" w:sz="4" w:space="0"/>
            </w:tcBorders>
          </w:tcPr>
          <w:p>
            <w:pPr>
              <w:rPr>
                <w:sz w:val="2"/>
                <w:szCs w:val="2"/>
              </w:rPr>
            </w:pPr>
          </w:p>
        </w:tc>
        <w:tc>
          <w:tcPr>
            <w:tcW w:w="1842" w:type="dxa"/>
            <w:tcBorders>
              <w:top w:val="single" w:color="000000" w:sz="4" w:space="0"/>
              <w:left w:val="single" w:color="000000" w:sz="4" w:space="0"/>
              <w:bottom w:val="single" w:color="000000" w:sz="4" w:space="0"/>
              <w:right w:val="single" w:color="000000" w:sz="4" w:space="0"/>
            </w:tcBorders>
          </w:tcPr>
          <w:p>
            <w:pPr>
              <w:pStyle w:val="11"/>
              <w:spacing w:before="3"/>
              <w:rPr>
                <w:sz w:val="18"/>
              </w:rPr>
            </w:pPr>
          </w:p>
          <w:p>
            <w:pPr>
              <w:pStyle w:val="11"/>
              <w:spacing w:before="1"/>
              <w:ind w:left="116"/>
              <w:rPr>
                <w:sz w:val="18"/>
              </w:rPr>
            </w:pPr>
            <w:r>
              <w:rPr>
                <w:spacing w:val="-2"/>
                <w:sz w:val="18"/>
              </w:rPr>
              <w:t>3.3.3</w:t>
            </w:r>
            <w:r>
              <w:rPr>
                <w:spacing w:val="-10"/>
                <w:sz w:val="18"/>
              </w:rPr>
              <w:t xml:space="preserve"> 产业支持</w:t>
            </w:r>
          </w:p>
        </w:tc>
        <w:tc>
          <w:tcPr>
            <w:tcW w:w="4803" w:type="dxa"/>
            <w:tcBorders>
              <w:top w:val="single" w:color="000000" w:sz="4" w:space="0"/>
              <w:left w:val="single" w:color="000000" w:sz="4" w:space="0"/>
              <w:bottom w:val="single" w:color="000000" w:sz="4" w:space="0"/>
            </w:tcBorders>
          </w:tcPr>
          <w:p>
            <w:pPr>
              <w:pStyle w:val="11"/>
              <w:spacing w:before="54"/>
              <w:ind w:left="107"/>
              <w:rPr>
                <w:sz w:val="18"/>
              </w:rPr>
            </w:pPr>
            <w:r>
              <w:rPr>
                <w:spacing w:val="-1"/>
                <w:sz w:val="18"/>
              </w:rPr>
              <w:t>策划及主办、承办与国家或地区重点产业发展规划相关主</w:t>
            </w:r>
          </w:p>
          <w:p>
            <w:pPr>
              <w:pStyle w:val="11"/>
              <w:spacing w:before="127"/>
              <w:ind w:left="107"/>
              <w:rPr>
                <w:sz w:val="18"/>
              </w:rPr>
            </w:pPr>
            <w:r>
              <w:rPr>
                <w:spacing w:val="-3"/>
                <w:sz w:val="18"/>
              </w:rPr>
              <w:t>题的会展</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6" w:hRule="atLeast"/>
        </w:trPr>
        <w:tc>
          <w:tcPr>
            <w:tcW w:w="1261" w:type="dxa"/>
            <w:vMerge w:val="continue"/>
            <w:tcBorders>
              <w:top w:val="nil"/>
              <w:right w:val="single" w:color="000000" w:sz="4" w:space="0"/>
            </w:tcBorders>
          </w:tcPr>
          <w:p>
            <w:pPr>
              <w:rPr>
                <w:sz w:val="2"/>
                <w:szCs w:val="2"/>
              </w:rPr>
            </w:pPr>
          </w:p>
        </w:tc>
        <w:tc>
          <w:tcPr>
            <w:tcW w:w="1418" w:type="dxa"/>
            <w:vMerge w:val="continue"/>
            <w:tcBorders>
              <w:top w:val="nil"/>
              <w:left w:val="single" w:color="000000" w:sz="4" w:space="0"/>
              <w:right w:val="single" w:color="000000" w:sz="4" w:space="0"/>
            </w:tcBorders>
          </w:tcPr>
          <w:p>
            <w:pPr>
              <w:rPr>
                <w:sz w:val="2"/>
                <w:szCs w:val="2"/>
              </w:rPr>
            </w:pPr>
          </w:p>
        </w:tc>
        <w:tc>
          <w:tcPr>
            <w:tcW w:w="1842" w:type="dxa"/>
            <w:tcBorders>
              <w:top w:val="single" w:color="000000" w:sz="4" w:space="0"/>
              <w:left w:val="single" w:color="000000" w:sz="4" w:space="0"/>
              <w:right w:val="single" w:color="000000" w:sz="4" w:space="0"/>
            </w:tcBorders>
          </w:tcPr>
          <w:p>
            <w:pPr>
              <w:pStyle w:val="11"/>
              <w:spacing w:before="3"/>
              <w:rPr>
                <w:sz w:val="18"/>
              </w:rPr>
            </w:pPr>
          </w:p>
          <w:p>
            <w:pPr>
              <w:pStyle w:val="11"/>
              <w:ind w:left="116"/>
              <w:rPr>
                <w:sz w:val="18"/>
              </w:rPr>
            </w:pPr>
            <w:r>
              <w:rPr>
                <w:sz w:val="18"/>
              </w:rPr>
              <w:t>3.3.4</w:t>
            </w:r>
            <w:r>
              <w:rPr>
                <w:spacing w:val="-3"/>
                <w:sz w:val="18"/>
              </w:rPr>
              <w:t xml:space="preserve"> 荣誉奖励</w:t>
            </w:r>
          </w:p>
        </w:tc>
        <w:tc>
          <w:tcPr>
            <w:tcW w:w="4803" w:type="dxa"/>
            <w:tcBorders>
              <w:top w:val="single" w:color="000000" w:sz="4" w:space="0"/>
              <w:left w:val="single" w:color="000000" w:sz="4" w:space="0"/>
            </w:tcBorders>
          </w:tcPr>
          <w:p>
            <w:pPr>
              <w:pStyle w:val="11"/>
              <w:spacing w:before="54"/>
              <w:ind w:left="107"/>
              <w:rPr>
                <w:sz w:val="18"/>
              </w:rPr>
            </w:pPr>
            <w:r>
              <w:rPr>
                <w:spacing w:val="-1"/>
                <w:sz w:val="18"/>
              </w:rPr>
              <w:t>获得政府部门或其他组织给予的较具权威性的表彰、鼓励</w:t>
            </w:r>
          </w:p>
          <w:p>
            <w:pPr>
              <w:pStyle w:val="11"/>
              <w:spacing w:before="126"/>
              <w:ind w:left="107"/>
              <w:rPr>
                <w:sz w:val="18"/>
              </w:rPr>
            </w:pPr>
            <w:r>
              <w:rPr>
                <w:sz w:val="18"/>
              </w:rPr>
              <w:t>等</w:t>
            </w:r>
          </w:p>
        </w:tc>
      </w:tr>
    </w:tbl>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2"/>
        <w:rPr>
          <w:sz w:val="26"/>
        </w:rPr>
      </w:pPr>
      <w:r>
        <w:pict>
          <v:shape id="docshape19" o:spid="_x0000_s1042" o:spt="202" type="#_x0000_t202" style="position:absolute;left:0pt;margin-left:522.7pt;margin-top:17.95pt;height:9pt;width:5.5pt;mso-position-horizontal-relative:page;mso-wrap-distance-bottom:0pt;mso-wrap-distance-top:0pt;z-index:-251644928;mso-width-relative:page;mso-height-relative:page;" filled="f" stroked="f" coordsize="21600,21600">
            <v:path/>
            <v:fill on="f" focussize="0,0"/>
            <v:stroke on="f" joinstyle="miter"/>
            <v:imagedata o:title=""/>
            <o:lock v:ext="edit"/>
            <v:textbox inset="0mm,0mm,0mm,0mm">
              <w:txbxContent>
                <w:p>
                  <w:pPr>
                    <w:spacing w:before="0" w:line="180" w:lineRule="exact"/>
                    <w:ind w:left="0" w:right="0" w:firstLine="0"/>
                    <w:jc w:val="left"/>
                    <w:rPr>
                      <w:sz w:val="18"/>
                    </w:rPr>
                  </w:pPr>
                  <w:r>
                    <w:rPr>
                      <w:sz w:val="18"/>
                    </w:rPr>
                    <w:t>5</w:t>
                  </w:r>
                </w:p>
              </w:txbxContent>
            </v:textbox>
            <w10:wrap type="topAndBottom"/>
          </v:shape>
        </w:pict>
      </w:r>
    </w:p>
    <w:sectPr>
      <w:pgSz w:w="11910" w:h="16840"/>
      <w:pgMar w:top="1640" w:right="260" w:bottom="280" w:left="240" w:header="1449"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docshape6" o:spid="_x0000_s2049" o:spt="202" type="#_x0000_t202" style="position:absolute;left:0pt;margin-left:438.5pt;margin-top:71.4pt;height:12.45pt;width:101.1pt;mso-position-horizontal-relative:page;mso-position-vertical-relative:page;z-index:-251657216;mso-width-relative:page;mso-height-relative:page;" filled="f" stroked="f" coordsize="21600,21600">
          <v:path/>
          <v:fill on="f" focussize="0,0"/>
          <v:stroke on="f"/>
          <v:imagedata o:title=""/>
          <o:lock v:ext="edit" aspectratio="f"/>
          <v:textbox inset="0mm,0mm,0mm,0mm">
            <w:txbxContent>
              <w:p>
                <w:pPr>
                  <w:pStyle w:val="3"/>
                  <w:spacing w:line="249" w:lineRule="exact"/>
                  <w:ind w:left="20"/>
                  <w:rPr>
                    <w:rFonts w:hint="eastAsia" w:ascii="黑体" w:hAnsi="黑体" w:eastAsia="宋体"/>
                    <w:lang w:eastAsia="zh-CN"/>
                  </w:rPr>
                </w:pPr>
                <w:r>
                  <w:rPr>
                    <w:rFonts w:hint="eastAsia" w:ascii="黑体" w:hAnsi="黑体"/>
                    <w:lang w:val="en-US" w:eastAsia="zh-CN"/>
                  </w:rPr>
                  <w:t>T/IMAS  XXX</w:t>
                </w:r>
                <w:r>
                  <w:t>—</w:t>
                </w:r>
                <w:r>
                  <w:rPr>
                    <w:rFonts w:ascii="黑体" w:hAnsi="黑体"/>
                    <w:spacing w:val="-4"/>
                  </w:rPr>
                  <w:t>202</w:t>
                </w:r>
                <w:r>
                  <w:rPr>
                    <w:rFonts w:hint="eastAsia" w:ascii="黑体" w:hAnsi="黑体"/>
                    <w:spacing w:val="-4"/>
                    <w:lang w:val="en-US" w:eastAsia="zh-CN"/>
                  </w:rPr>
                  <w:t>4</w:t>
                </w:r>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bookmarkStart w:id="1" w:name="_GoBack"/>
    <w:bookmarkEnd w:id="1"/>
    <w:r>
      <w:pict>
        <v:shape id="docshape7" o:spid="_x0000_s2050" o:spt="202" type="#_x0000_t202" style="position:absolute;left:0pt;margin-left:50.35pt;margin-top:72.9pt;height:12.45pt;width:101.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pStyle w:val="3"/>
                  <w:spacing w:line="249" w:lineRule="exact"/>
                  <w:ind w:left="20"/>
                  <w:rPr>
                    <w:rFonts w:hint="eastAsia" w:ascii="黑体" w:hAnsi="黑体" w:eastAsia="宋体"/>
                    <w:lang w:eastAsia="zh-CN"/>
                  </w:rPr>
                </w:pPr>
                <w:r>
                  <w:rPr>
                    <w:rFonts w:hint="eastAsia" w:ascii="黑体" w:hAnsi="黑体"/>
                    <w:lang w:val="en-US" w:eastAsia="zh-CN"/>
                  </w:rPr>
                  <w:t>T/IMAS</w:t>
                </w:r>
                <w:r>
                  <w:rPr>
                    <w:rFonts w:ascii="黑体" w:hAnsi="黑体"/>
                    <w:spacing w:val="-10"/>
                  </w:rPr>
                  <w:t xml:space="preserve"> </w:t>
                </w:r>
                <w:r>
                  <w:rPr>
                    <w:rFonts w:hint="eastAsia" w:ascii="黑体" w:hAnsi="黑体"/>
                    <w:lang w:val="en-US" w:eastAsia="zh-CN"/>
                  </w:rPr>
                  <w:t>XXX</w:t>
                </w:r>
                <w:r>
                  <w:t>—</w:t>
                </w:r>
                <w:r>
                  <w:rPr>
                    <w:rFonts w:ascii="黑体" w:hAnsi="黑体"/>
                    <w:spacing w:val="-4"/>
                  </w:rPr>
                  <w:t>202</w:t>
                </w:r>
                <w:r>
                  <w:rPr>
                    <w:rFonts w:hint="eastAsia" w:ascii="黑体" w:hAnsi="黑体"/>
                    <w:spacing w:val="-4"/>
                    <w:lang w:val="en-US" w:eastAsia="zh-CN"/>
                  </w:rPr>
                  <w:t>4</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1492" w:hanging="315"/>
        <w:jc w:val="left"/>
      </w:pPr>
      <w:rPr>
        <w:rFonts w:hint="default" w:ascii="黑体" w:hAnsi="黑体" w:eastAsia="黑体" w:cs="黑体"/>
        <w:b w:val="0"/>
        <w:bCs w:val="0"/>
        <w:i w:val="0"/>
        <w:iCs w:val="0"/>
        <w:w w:val="99"/>
        <w:sz w:val="21"/>
        <w:szCs w:val="21"/>
        <w:lang w:val="en-US" w:eastAsia="zh-CN" w:bidi="ar-SA"/>
      </w:rPr>
    </w:lvl>
    <w:lvl w:ilvl="1" w:tentative="0">
      <w:start w:val="1"/>
      <w:numFmt w:val="lowerLetter"/>
      <w:lvlText w:val="%2)"/>
      <w:lvlJc w:val="left"/>
      <w:pPr>
        <w:ind w:left="1744" w:hanging="425"/>
        <w:jc w:val="left"/>
      </w:pPr>
      <w:rPr>
        <w:rFonts w:hint="default" w:ascii="宋体" w:hAnsi="宋体" w:eastAsia="宋体" w:cs="宋体"/>
        <w:b w:val="0"/>
        <w:bCs w:val="0"/>
        <w:i w:val="0"/>
        <w:iCs w:val="0"/>
        <w:spacing w:val="0"/>
        <w:w w:val="99"/>
        <w:sz w:val="21"/>
        <w:szCs w:val="21"/>
        <w:lang w:val="en-US" w:eastAsia="zh-CN" w:bidi="ar-SA"/>
      </w:rPr>
    </w:lvl>
    <w:lvl w:ilvl="2" w:tentative="0">
      <w:start w:val="0"/>
      <w:numFmt w:val="bullet"/>
      <w:lvlText w:val="•"/>
      <w:lvlJc w:val="left"/>
      <w:pPr>
        <w:ind w:left="2814" w:hanging="425"/>
      </w:pPr>
      <w:rPr>
        <w:rFonts w:hint="default"/>
        <w:lang w:val="en-US" w:eastAsia="zh-CN" w:bidi="ar-SA"/>
      </w:rPr>
    </w:lvl>
    <w:lvl w:ilvl="3" w:tentative="0">
      <w:start w:val="0"/>
      <w:numFmt w:val="bullet"/>
      <w:lvlText w:val="•"/>
      <w:lvlJc w:val="left"/>
      <w:pPr>
        <w:ind w:left="3888" w:hanging="425"/>
      </w:pPr>
      <w:rPr>
        <w:rFonts w:hint="default"/>
        <w:lang w:val="en-US" w:eastAsia="zh-CN" w:bidi="ar-SA"/>
      </w:rPr>
    </w:lvl>
    <w:lvl w:ilvl="4" w:tentative="0">
      <w:start w:val="0"/>
      <w:numFmt w:val="bullet"/>
      <w:lvlText w:val="•"/>
      <w:lvlJc w:val="left"/>
      <w:pPr>
        <w:ind w:left="4962" w:hanging="425"/>
      </w:pPr>
      <w:rPr>
        <w:rFonts w:hint="default"/>
        <w:lang w:val="en-US" w:eastAsia="zh-CN" w:bidi="ar-SA"/>
      </w:rPr>
    </w:lvl>
    <w:lvl w:ilvl="5" w:tentative="0">
      <w:start w:val="0"/>
      <w:numFmt w:val="bullet"/>
      <w:lvlText w:val="•"/>
      <w:lvlJc w:val="left"/>
      <w:pPr>
        <w:ind w:left="6036" w:hanging="425"/>
      </w:pPr>
      <w:rPr>
        <w:rFonts w:hint="default"/>
        <w:lang w:val="en-US" w:eastAsia="zh-CN" w:bidi="ar-SA"/>
      </w:rPr>
    </w:lvl>
    <w:lvl w:ilvl="6" w:tentative="0">
      <w:start w:val="0"/>
      <w:numFmt w:val="bullet"/>
      <w:lvlText w:val="•"/>
      <w:lvlJc w:val="left"/>
      <w:pPr>
        <w:ind w:left="7110" w:hanging="425"/>
      </w:pPr>
      <w:rPr>
        <w:rFonts w:hint="default"/>
        <w:lang w:val="en-US" w:eastAsia="zh-CN" w:bidi="ar-SA"/>
      </w:rPr>
    </w:lvl>
    <w:lvl w:ilvl="7" w:tentative="0">
      <w:start w:val="0"/>
      <w:numFmt w:val="bullet"/>
      <w:lvlText w:val="•"/>
      <w:lvlJc w:val="left"/>
      <w:pPr>
        <w:ind w:left="8184" w:hanging="425"/>
      </w:pPr>
      <w:rPr>
        <w:rFonts w:hint="default"/>
        <w:lang w:val="en-US" w:eastAsia="zh-CN" w:bidi="ar-SA"/>
      </w:rPr>
    </w:lvl>
    <w:lvl w:ilvl="8" w:tentative="0">
      <w:start w:val="0"/>
      <w:numFmt w:val="bullet"/>
      <w:lvlText w:val="•"/>
      <w:lvlJc w:val="left"/>
      <w:pPr>
        <w:ind w:left="9258" w:hanging="425"/>
      </w:pPr>
      <w:rPr>
        <w:rFonts w:hint="default"/>
        <w:lang w:val="en-US" w:eastAsia="zh-CN"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YWU0ZGQ5OTg0MWU4NWQyODRhOTY0YjQ1NWI2ZjcxY2QifQ=="/>
  </w:docVars>
  <w:rsids>
    <w:rsidRoot w:val="00000000"/>
    <w:rsid w:val="01B56C4C"/>
    <w:rsid w:val="0D4175A9"/>
    <w:rsid w:val="110E0D20"/>
    <w:rsid w:val="18ED67B1"/>
    <w:rsid w:val="21A81741"/>
    <w:rsid w:val="3BE47861"/>
    <w:rsid w:val="3D4B07A1"/>
    <w:rsid w:val="3F497A7F"/>
    <w:rsid w:val="50574116"/>
    <w:rsid w:val="590320EC"/>
    <w:rsid w:val="5F031D8B"/>
    <w:rsid w:val="634F0EAD"/>
    <w:rsid w:val="66E25E34"/>
    <w:rsid w:val="685F39E5"/>
    <w:rsid w:val="711947DA"/>
    <w:rsid w:val="7901616C"/>
    <w:rsid w:val="7A144808"/>
    <w:rsid w:val="7DC51F09"/>
    <w:rsid w:val="7E0A74D7"/>
    <w:rsid w:val="7FA04F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qFormat/>
    <w:uiPriority w:val="1"/>
    <w:pPr>
      <w:spacing w:before="54"/>
      <w:ind w:left="154"/>
      <w:jc w:val="center"/>
      <w:outlineLvl w:val="1"/>
    </w:pPr>
    <w:rPr>
      <w:rFonts w:ascii="黑体" w:hAnsi="黑体" w:eastAsia="黑体" w:cs="黑体"/>
      <w:sz w:val="32"/>
      <w:szCs w:val="32"/>
      <w:lang w:val="en-US" w:eastAsia="zh-CN" w:bidi="ar-SA"/>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1"/>
      <w:szCs w:val="21"/>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qFormat/>
    <w:uiPriority w:val="1"/>
    <w:pPr>
      <w:spacing w:before="2"/>
      <w:ind w:right="1211"/>
      <w:jc w:val="right"/>
    </w:pPr>
    <w:rPr>
      <w:rFonts w:ascii="Times New Roman" w:hAnsi="Times New Roman" w:eastAsia="Times New Roman" w:cs="Times New Roman"/>
      <w:b/>
      <w:bCs/>
      <w:sz w:val="96"/>
      <w:szCs w:val="96"/>
      <w:lang w:val="en-US" w:eastAsia="zh-CN" w:bidi="ar-SA"/>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1492" w:hanging="425"/>
    </w:pPr>
    <w:rPr>
      <w:rFonts w:ascii="宋体" w:hAnsi="宋体" w:eastAsia="宋体" w:cs="宋体"/>
      <w:lang w:val="en-US" w:eastAsia="zh-CN" w:bidi="ar-SA"/>
    </w:rPr>
  </w:style>
  <w:style w:type="paragraph" w:customStyle="1" w:styleId="11">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49"/>
    <customShpInfo spid="_x0000_s2050"/>
    <customShpInfo spid="_x0000_s1029"/>
    <customShpInfo spid="_x0000_s1027"/>
    <customShpInfo spid="_x0000_s1028"/>
    <customShpInfo spid="_x0000_s1030"/>
    <customShpInfo spid="_x0000_s1031"/>
    <customShpInfo spid="_x0000_s1032"/>
    <customShpInfo spid="_x0000_s1033"/>
    <customShpInfo spid="_x0000_s1034"/>
    <customShpInfo spid="_x0000_s1036"/>
    <customShpInfo spid="_x0000_s1037"/>
    <customShpInfo spid="_x0000_s1038"/>
    <customShpInfo spid="_x0000_s1035"/>
    <customShpInfo spid="_x0000_s1039"/>
    <customShpInfo spid="_x0000_s1040"/>
    <customShpInfo spid="_x0000_s1041"/>
    <customShpInfo spid="_x0000_s10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3047</Words>
  <Characters>3263</Characters>
  <TotalTime>5</TotalTime>
  <ScaleCrop>false</ScaleCrop>
  <LinksUpToDate>false</LinksUpToDate>
  <CharactersWithSpaces>3366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2023-07-09T09:25:00Z</dcterms:created>
  <dc:creator>lenovo</dc:creator>
  <cp:lastModifiedBy>内蒙古会展经济发展研究会李淑玲</cp:lastModifiedBy>
  <cp:lastPrinted>2023-08-09T03:09:00Z</cp:lastPrinted>
  <dcterms:modified xsi:type="dcterms:W3CDTF">2024-05-20T07:30:31Z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2023-07-09T00:00:00Z</vt:filetime>
  </property>
  <property fmtid="{D5CDD505-2E9C-101B-9397-08002B2CF9AE}" pid="3" name="Creator">
    <vt:lpwstr>Aspose Ltd.</vt:lpwstr>
  </property>
  <property fmtid="{D5CDD505-2E9C-101B-9397-08002B2CF9AE}" pid="4" name="LastSaved">
    <vt:filetime>2023-07-09T00:00:00Z</vt:filetime>
  </property>
  <property fmtid="{D5CDD505-2E9C-101B-9397-08002B2CF9AE}" pid="5" name="KSOProductBuildVer">
    <vt:lpwstr>2052-12.1.0.16929</vt:lpwstr>
  </property>
  <property fmtid="{D5CDD505-2E9C-101B-9397-08002B2CF9AE}" pid="6" name="ICV">
    <vt:lpwstr>2D1FA89B0C244ED488AF9B4587AF202B_12</vt:lpwstr>
  </property>
</Properties>
</file>